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
        <w:jc w:val="center"/>
        <w:rPr>
          <w:rFonts w:eastAsia="黑体"/>
          <w:color w:val="000000" w:themeColor="text1"/>
          <w:sz w:val="52"/>
          <w:szCs w:val="52"/>
          <w14:textFill>
            <w14:solidFill>
              <w14:schemeClr w14:val="tx1"/>
            </w14:solidFill>
          </w14:textFill>
        </w:rPr>
      </w:pPr>
      <w:r>
        <w:rPr>
          <w:rFonts w:hint="eastAsia" w:eastAsia="黑体"/>
          <w:color w:val="000000" w:themeColor="text1"/>
          <w:sz w:val="52"/>
          <w:szCs w:val="52"/>
          <w14:textFill>
            <w14:solidFill>
              <w14:schemeClr w14:val="tx1"/>
            </w14:solidFill>
          </w14:textFill>
        </w:rPr>
        <w:t xml:space="preserve"> </w:t>
      </w:r>
      <w:r>
        <w:rPr>
          <w:rFonts w:eastAsia="黑体"/>
          <w:color w:val="000000" w:themeColor="text1"/>
          <w:sz w:val="52"/>
          <w:szCs w:val="52"/>
          <w14:textFill>
            <w14:solidFill>
              <w14:schemeClr w14:val="tx1"/>
            </w14:solidFill>
          </w14:textFill>
        </w:rPr>
        <w:t>【服务类】</w:t>
      </w:r>
    </w:p>
    <w:p>
      <w:pPr>
        <w:rPr>
          <w:color w:val="000000" w:themeColor="text1"/>
          <w14:textFill>
            <w14:solidFill>
              <w14:schemeClr w14:val="tx1"/>
            </w14:solidFill>
          </w14:textFill>
        </w:rPr>
      </w:pPr>
    </w:p>
    <w:p>
      <w:pPr>
        <w:rPr>
          <w:color w:val="000000" w:themeColor="text1"/>
          <w:sz w:val="52"/>
          <w:szCs w:val="52"/>
          <w14:textFill>
            <w14:solidFill>
              <w14:schemeClr w14:val="tx1"/>
            </w14:solidFill>
          </w14:textFill>
        </w:rPr>
      </w:pPr>
    </w:p>
    <w:p>
      <w:pPr>
        <w:rPr>
          <w:color w:val="000000" w:themeColor="text1"/>
          <w:sz w:val="44"/>
          <w:szCs w:val="44"/>
          <w14:textFill>
            <w14:solidFill>
              <w14:schemeClr w14:val="tx1"/>
            </w14:solidFill>
          </w14:textFill>
        </w:rPr>
      </w:pPr>
      <w:r>
        <w:rPr>
          <w:rFonts w:hint="eastAsia"/>
          <w:color w:val="000000" w:themeColor="text1"/>
          <w:sz w:val="44"/>
          <w:szCs w:val="44"/>
          <w14:textFill>
            <w14:solidFill>
              <w14:schemeClr w14:val="tx1"/>
            </w14:solidFill>
          </w14:textFill>
        </w:rPr>
        <w:t xml:space="preserve">   </w:t>
      </w:r>
    </w:p>
    <w:p>
      <w:pPr>
        <w:rPr>
          <w:color w:val="000000" w:themeColor="text1"/>
          <w:sz w:val="44"/>
          <w:szCs w:val="44"/>
          <w14:textFill>
            <w14:solidFill>
              <w14:schemeClr w14:val="tx1"/>
            </w14:solidFill>
          </w14:textFill>
        </w:rPr>
      </w:pPr>
    </w:p>
    <w:p>
      <w:pPr>
        <w:jc w:val="center"/>
        <w:rPr>
          <w:b/>
          <w:sz w:val="44"/>
          <w:szCs w:val="44"/>
        </w:rPr>
      </w:pPr>
      <w:r>
        <w:rPr>
          <w:b/>
          <w:color w:val="000000" w:themeColor="text1"/>
          <w:sz w:val="44"/>
          <w:szCs w:val="44"/>
          <w14:textFill>
            <w14:solidFill>
              <w14:schemeClr w14:val="tx1"/>
            </w14:solidFill>
          </w14:textFill>
        </w:rPr>
        <w:t>项目编号：</w:t>
      </w:r>
      <w:r>
        <w:rPr>
          <w:b/>
          <w:sz w:val="44"/>
          <w:szCs w:val="44"/>
        </w:rPr>
        <w:t>HITSZ-EIC-IM01</w:t>
      </w:r>
    </w:p>
    <w:p>
      <w:pPr>
        <w:rPr>
          <w:sz w:val="52"/>
          <w:szCs w:val="52"/>
        </w:rPr>
      </w:pPr>
    </w:p>
    <w:p>
      <w:pPr>
        <w:jc w:val="center"/>
        <w:rPr>
          <w:b/>
          <w:color w:val="000000" w:themeColor="text1"/>
          <w:sz w:val="52"/>
          <w:szCs w:val="52"/>
          <w14:textFill>
            <w14:solidFill>
              <w14:schemeClr w14:val="tx1"/>
            </w14:solidFill>
          </w14:textFill>
        </w:rPr>
      </w:pPr>
      <w:r>
        <w:rPr>
          <w:rFonts w:hint="eastAsia"/>
          <w:b/>
          <w:color w:val="000000" w:themeColor="text1"/>
          <w:sz w:val="52"/>
          <w:szCs w:val="52"/>
          <w14:textFill>
            <w14:solidFill>
              <w14:schemeClr w14:val="tx1"/>
            </w14:solidFill>
          </w14:textFill>
        </w:rPr>
        <w:t>哈尔滨工业大学（深圳）</w:t>
      </w:r>
    </w:p>
    <w:p>
      <w:pPr>
        <w:jc w:val="center"/>
        <w:rPr>
          <w:b/>
          <w:color w:val="000000" w:themeColor="text1"/>
          <w:sz w:val="52"/>
          <w:szCs w:val="52"/>
          <w14:textFill>
            <w14:solidFill>
              <w14:schemeClr w14:val="tx1"/>
            </w14:solidFill>
          </w14:textFill>
        </w:rPr>
      </w:pPr>
      <w:r>
        <w:rPr>
          <w:rFonts w:hint="eastAsia"/>
          <w:b/>
          <w:color w:val="000000" w:themeColor="text1"/>
          <w:sz w:val="52"/>
          <w:szCs w:val="52"/>
          <w14:textFill>
            <w14:solidFill>
              <w14:schemeClr w14:val="tx1"/>
            </w14:solidFill>
          </w14:textFill>
        </w:rPr>
        <w:t>实验与创新实践教育中心网站建设项目</w:t>
      </w:r>
    </w:p>
    <w:p>
      <w:pPr>
        <w:rPr>
          <w:b/>
          <w:color w:val="000000" w:themeColor="text1"/>
          <w:sz w:val="52"/>
          <w:szCs w:val="52"/>
          <w14:textFill>
            <w14:solidFill>
              <w14:schemeClr w14:val="tx1"/>
            </w14:solidFill>
          </w14:textFill>
        </w:rPr>
      </w:pPr>
    </w:p>
    <w:p>
      <w:pPr>
        <w:jc w:val="center"/>
        <w:rPr>
          <w:b/>
          <w:color w:val="000000" w:themeColor="text1"/>
          <w:sz w:val="52"/>
          <w:szCs w:val="52"/>
          <w14:textFill>
            <w14:solidFill>
              <w14:schemeClr w14:val="tx1"/>
            </w14:solidFill>
          </w14:textFill>
        </w:rPr>
      </w:pPr>
      <w:r>
        <w:rPr>
          <w:b/>
          <w:color w:val="000000" w:themeColor="text1"/>
          <w:sz w:val="52"/>
          <w:szCs w:val="52"/>
          <w14:textFill>
            <w14:solidFill>
              <w14:schemeClr w14:val="tx1"/>
            </w14:solidFill>
          </w14:textFill>
        </w:rPr>
        <w:t>招标文件</w:t>
      </w:r>
    </w:p>
    <w:p>
      <w:pPr>
        <w:rPr>
          <w:color w:val="000000" w:themeColor="text1"/>
          <w:sz w:val="52"/>
          <w:szCs w:val="52"/>
          <w14:textFill>
            <w14:solidFill>
              <w14:schemeClr w14:val="tx1"/>
            </w14:solidFill>
          </w14:textFill>
        </w:rPr>
      </w:pPr>
    </w:p>
    <w:p>
      <w:pPr>
        <w:rPr>
          <w:color w:val="000000" w:themeColor="text1"/>
          <w:sz w:val="52"/>
          <w:szCs w:val="52"/>
          <w14:textFill>
            <w14:solidFill>
              <w14:schemeClr w14:val="tx1"/>
            </w14:solidFill>
          </w14:textFill>
        </w:rPr>
      </w:pPr>
    </w:p>
    <w:p>
      <w:pPr>
        <w:rPr>
          <w:color w:val="000000" w:themeColor="text1"/>
          <w:sz w:val="52"/>
          <w:szCs w:val="52"/>
          <w14:textFill>
            <w14:solidFill>
              <w14:schemeClr w14:val="tx1"/>
            </w14:solidFill>
          </w14:textFill>
        </w:rPr>
      </w:pPr>
    </w:p>
    <w:p>
      <w:pPr>
        <w:rPr>
          <w:color w:val="000000" w:themeColor="text1"/>
          <w:sz w:val="52"/>
          <w:szCs w:val="52"/>
          <w14:textFill>
            <w14:solidFill>
              <w14:schemeClr w14:val="tx1"/>
            </w14:solidFill>
          </w14:textFill>
        </w:rPr>
      </w:pPr>
    </w:p>
    <w:p>
      <w:pPr>
        <w:rPr>
          <w:color w:val="000000" w:themeColor="text1"/>
          <w:sz w:val="52"/>
          <w:szCs w:val="52"/>
          <w14:textFill>
            <w14:solidFill>
              <w14:schemeClr w14:val="tx1"/>
            </w14:solidFill>
          </w14:textFill>
        </w:rPr>
      </w:pPr>
    </w:p>
    <w:p>
      <w:pPr>
        <w:rPr>
          <w:color w:val="000000" w:themeColor="text1"/>
          <w:sz w:val="52"/>
          <w:szCs w:val="52"/>
          <w14:textFill>
            <w14:solidFill>
              <w14:schemeClr w14:val="tx1"/>
            </w14:solidFill>
          </w14:textFill>
        </w:rPr>
      </w:pPr>
    </w:p>
    <w:p>
      <w:pPr>
        <w:rPr>
          <w:color w:val="000000" w:themeColor="text1"/>
          <w:sz w:val="52"/>
          <w:szCs w:val="52"/>
          <w14:textFill>
            <w14:solidFill>
              <w14:schemeClr w14:val="tx1"/>
            </w14:solidFill>
          </w14:textFill>
        </w:rPr>
      </w:pPr>
    </w:p>
    <w:p>
      <w:pPr>
        <w:jc w:val="center"/>
        <w:rPr>
          <w:color w:val="000000" w:themeColor="text1"/>
          <w:sz w:val="44"/>
          <w:szCs w:val="44"/>
          <w14:textFill>
            <w14:solidFill>
              <w14:schemeClr w14:val="tx1"/>
            </w14:solidFill>
          </w14:textFill>
        </w:rPr>
      </w:pPr>
      <w:r>
        <w:rPr>
          <w:rFonts w:hint="eastAsia"/>
          <w:b/>
          <w:color w:val="000000" w:themeColor="text1"/>
          <w:sz w:val="44"/>
          <w:szCs w:val="44"/>
          <w14:textFill>
            <w14:solidFill>
              <w14:schemeClr w14:val="tx1"/>
            </w14:solidFill>
          </w14:textFill>
        </w:rPr>
        <w:t>哈尔滨工业大学（深圳）实验与创新实践教育中心</w:t>
      </w:r>
    </w:p>
    <w:p>
      <w:pPr>
        <w:jc w:val="center"/>
        <w:rPr>
          <w:color w:val="000000" w:themeColor="text1"/>
          <w:sz w:val="44"/>
          <w:szCs w:val="44"/>
          <w14:textFill>
            <w14:solidFill>
              <w14:schemeClr w14:val="tx1"/>
            </w14:solidFill>
          </w14:textFill>
        </w:rPr>
      </w:pPr>
      <w:r>
        <w:rPr>
          <w:color w:val="000000" w:themeColor="text1"/>
          <w:sz w:val="44"/>
          <w:szCs w:val="44"/>
          <w14:textFill>
            <w14:solidFill>
              <w14:schemeClr w14:val="tx1"/>
            </w14:solidFill>
          </w14:textFill>
        </w:rPr>
        <w:t>二〇</w:t>
      </w:r>
      <w:r>
        <w:rPr>
          <w:rFonts w:hint="eastAsia"/>
          <w:color w:val="000000" w:themeColor="text1"/>
          <w:sz w:val="44"/>
          <w:szCs w:val="44"/>
          <w14:textFill>
            <w14:solidFill>
              <w14:schemeClr w14:val="tx1"/>
            </w14:solidFill>
          </w14:textFill>
        </w:rPr>
        <w:t>一八</w:t>
      </w:r>
      <w:r>
        <w:rPr>
          <w:color w:val="000000" w:themeColor="text1"/>
          <w:sz w:val="44"/>
          <w:szCs w:val="44"/>
          <w14:textFill>
            <w14:solidFill>
              <w14:schemeClr w14:val="tx1"/>
            </w14:solidFill>
          </w14:textFill>
        </w:rPr>
        <w:t>年</w:t>
      </w:r>
      <w:r>
        <w:rPr>
          <w:rFonts w:hint="eastAsia"/>
          <w:color w:val="000000" w:themeColor="text1"/>
          <w:sz w:val="44"/>
          <w:szCs w:val="44"/>
          <w14:textFill>
            <w14:solidFill>
              <w14:schemeClr w14:val="tx1"/>
            </w14:solidFill>
          </w14:textFill>
        </w:rPr>
        <w:t>十一月</w:t>
      </w:r>
    </w:p>
    <w:p>
      <w:pPr>
        <w:jc w:val="center"/>
        <w:rPr>
          <w:color w:val="000000" w:themeColor="text1"/>
          <w:sz w:val="36"/>
          <w14:textFill>
            <w14:solidFill>
              <w14:schemeClr w14:val="tx1"/>
            </w14:solidFill>
          </w14:textFill>
        </w:rPr>
        <w:sectPr>
          <w:headerReference r:id="rId3" w:type="default"/>
          <w:footerReference r:id="rId4" w:type="even"/>
          <w:pgSz w:w="11906" w:h="16838"/>
          <w:pgMar w:top="1134" w:right="1134" w:bottom="1134" w:left="1134" w:header="851" w:footer="992" w:gutter="0"/>
          <w:cols w:space="425" w:num="1"/>
          <w:docGrid w:type="lines" w:linePitch="312" w:charSpace="0"/>
        </w:sectPr>
      </w:pPr>
    </w:p>
    <w:p>
      <w:pPr>
        <w:pStyle w:val="2"/>
        <w:rPr>
          <w:color w:val="000000" w:themeColor="text1"/>
          <w14:textFill>
            <w14:solidFill>
              <w14:schemeClr w14:val="tx1"/>
            </w14:solidFill>
          </w14:textFill>
        </w:rPr>
      </w:pPr>
      <w:r>
        <w:rPr>
          <w:color w:val="000000" w:themeColor="text1"/>
          <w14:textFill>
            <w14:solidFill>
              <w14:schemeClr w14:val="tx1"/>
            </w14:solidFill>
          </w14:textFill>
        </w:rPr>
        <w:t>关键信息</w:t>
      </w:r>
    </w:p>
    <w:p>
      <w:pPr>
        <w:pStyle w:val="4"/>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投标须知前附表</w:t>
      </w:r>
    </w:p>
    <w:tbl>
      <w:tblPr>
        <w:tblStyle w:val="24"/>
        <w:tblW w:w="8723" w:type="dxa"/>
        <w:tblInd w:w="5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6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26" w:type="dxa"/>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项目类型</w:t>
            </w:r>
          </w:p>
        </w:tc>
        <w:tc>
          <w:tcPr>
            <w:tcW w:w="6097" w:type="dxa"/>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26" w:type="dxa"/>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采购方式</w:t>
            </w:r>
          </w:p>
        </w:tc>
        <w:tc>
          <w:tcPr>
            <w:tcW w:w="6097" w:type="dxa"/>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626" w:type="dxa"/>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货币类型</w:t>
            </w:r>
          </w:p>
        </w:tc>
        <w:tc>
          <w:tcPr>
            <w:tcW w:w="6097" w:type="dxa"/>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26" w:type="dxa"/>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预算金额</w:t>
            </w:r>
          </w:p>
        </w:tc>
        <w:tc>
          <w:tcPr>
            <w:tcW w:w="6097" w:type="dxa"/>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626" w:type="dxa"/>
            <w:vAlign w:val="center"/>
          </w:tcPr>
          <w:p>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投标保证金</w:t>
            </w:r>
          </w:p>
        </w:tc>
        <w:tc>
          <w:tcPr>
            <w:tcW w:w="6097" w:type="dxa"/>
            <w:vAlign w:val="center"/>
          </w:tcPr>
          <w:p>
            <w:pPr>
              <w:jc w:val="center"/>
              <w:rPr>
                <w:snapToGrid w:val="0"/>
                <w:color w:val="000000" w:themeColor="text1"/>
                <w:kern w:val="0"/>
                <w:szCs w:val="21"/>
                <w:u w:val="single"/>
                <w:lang w:val="zh-CN"/>
                <w14:textFill>
                  <w14:solidFill>
                    <w14:schemeClr w14:val="tx1"/>
                  </w14:solidFill>
                </w14:textFill>
              </w:rPr>
            </w:pPr>
            <w:r>
              <w:rPr>
                <w:rFonts w:hint="eastAsia"/>
                <w:color w:val="000000" w:themeColor="text1"/>
                <w:szCs w:val="21"/>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26"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投标人的替代方案</w:t>
            </w:r>
          </w:p>
        </w:tc>
        <w:tc>
          <w:tcPr>
            <w:tcW w:w="6097" w:type="dxa"/>
            <w:vAlign w:val="center"/>
          </w:tcPr>
          <w:p>
            <w:pPr>
              <w:jc w:val="center"/>
              <w:rPr>
                <w:color w:val="000000" w:themeColor="text1"/>
                <w:u w:val="single"/>
                <w14:textFill>
                  <w14:solidFill>
                    <w14:schemeClr w14:val="tx1"/>
                  </w14:solidFill>
                </w14:textFill>
              </w:rPr>
            </w:pPr>
            <w:r>
              <w:rPr>
                <w:color w:val="000000" w:themeColor="text1"/>
                <w:szCs w:val="21"/>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26"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投标有效期</w:t>
            </w:r>
          </w:p>
        </w:tc>
        <w:tc>
          <w:tcPr>
            <w:tcW w:w="6097"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90</w:t>
            </w:r>
            <w:r>
              <w:rPr>
                <w:color w:val="000000" w:themeColor="text1"/>
                <w:szCs w:val="21"/>
                <w14:textFill>
                  <w14:solidFill>
                    <w14:schemeClr w14:val="tx1"/>
                  </w14:solidFill>
                </w14:textFill>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626"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代理服务费</w:t>
            </w:r>
          </w:p>
        </w:tc>
        <w:tc>
          <w:tcPr>
            <w:tcW w:w="6097"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26"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投标文件份数</w:t>
            </w:r>
          </w:p>
        </w:tc>
        <w:tc>
          <w:tcPr>
            <w:tcW w:w="6097"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一正</w:t>
            </w:r>
            <w:r>
              <w:rPr>
                <w:rFonts w:hint="eastAsia"/>
                <w:color w:val="000000" w:themeColor="text1"/>
                <w14:textFill>
                  <w14:solidFill>
                    <w14:schemeClr w14:val="tx1"/>
                  </w14:solidFill>
                </w14:textFill>
              </w:rPr>
              <w:t>二</w:t>
            </w:r>
            <w:r>
              <w:rPr>
                <w:color w:val="000000" w:themeColor="text1"/>
                <w14:textFill>
                  <w14:solidFill>
                    <w14:schemeClr w14:val="tx1"/>
                  </w14:solidFill>
                </w14:textFill>
              </w:rPr>
              <w:t>副及电子文档一份（电子文档置于唱标信封密封袋中）</w:t>
            </w:r>
          </w:p>
        </w:tc>
      </w:tr>
    </w:tbl>
    <w:p>
      <w:pPr>
        <w:pStyle w:val="4"/>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投标文件初审表</w:t>
      </w:r>
    </w:p>
    <w:tbl>
      <w:tblPr>
        <w:tblStyle w:val="24"/>
        <w:tblW w:w="8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7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2" w:type="dxa"/>
            <w:gridSpan w:val="2"/>
          </w:tcPr>
          <w:p>
            <w:pPr>
              <w:jc w:val="center"/>
              <w:rPr>
                <w:color w:val="000000" w:themeColor="text1"/>
                <w14:textFill>
                  <w14:solidFill>
                    <w14:schemeClr w14:val="tx1"/>
                  </w14:solidFill>
                </w14:textFill>
              </w:rPr>
            </w:pPr>
            <w:r>
              <w:rPr>
                <w:color w:val="000000" w:themeColor="text1"/>
                <w14:textFill>
                  <w14:solidFill>
                    <w14:schemeClr w14:val="tx1"/>
                  </w14:solidFill>
                </w14:textFill>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7406" w:type="dxa"/>
          </w:tcPr>
          <w:p>
            <w:pPr>
              <w:rPr>
                <w:color w:val="000000" w:themeColor="text1"/>
                <w14:textFill>
                  <w14:solidFill>
                    <w14:schemeClr w14:val="tx1"/>
                  </w14:solidFill>
                </w14:textFill>
              </w:rPr>
            </w:pPr>
            <w:r>
              <w:rPr>
                <w:color w:val="000000" w:themeColor="text1"/>
                <w14:textFill>
                  <w14:solidFill>
                    <w14:schemeClr w14:val="tx1"/>
                  </w14:solidFill>
                </w14:textFill>
              </w:rPr>
              <w:t>投标人不具备招标资质要求，或未提交相应资格证明材料（详见招标公告投标人资质要求，其中未列示的资质要求不得导致废标。）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7406" w:type="dxa"/>
          </w:tcPr>
          <w:p>
            <w:pPr>
              <w:rPr>
                <w:color w:val="000000" w:themeColor="text1"/>
                <w14:textFill>
                  <w14:solidFill>
                    <w14:schemeClr w14:val="tx1"/>
                  </w14:solidFill>
                </w14:textFill>
              </w:rPr>
            </w:pPr>
            <w:r>
              <w:rPr>
                <w:color w:val="000000" w:themeColor="text1"/>
                <w14:textFill>
                  <w14:solidFill>
                    <w14:schemeClr w14:val="tx1"/>
                  </w14:solidFill>
                </w14:textFill>
              </w:rPr>
              <w:t>投标人不具备国家有关法律规定的有关资质的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2" w:type="dxa"/>
            <w:gridSpan w:val="2"/>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7406" w:type="dxa"/>
          </w:tcPr>
          <w:p>
            <w:pPr>
              <w:rPr>
                <w:color w:val="000000" w:themeColor="text1"/>
                <w14:textFill>
                  <w14:solidFill>
                    <w14:schemeClr w14:val="tx1"/>
                  </w14:solidFill>
                </w14:textFill>
              </w:rPr>
            </w:pPr>
            <w:r>
              <w:rPr>
                <w:color w:val="000000" w:themeColor="text1"/>
                <w14:textFill>
                  <w14:solidFill>
                    <w14:schemeClr w14:val="tx1"/>
                  </w14:solidFill>
                </w14:textFill>
              </w:rPr>
              <w:t>将一个包中的内容拆开投标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7406" w:type="dxa"/>
          </w:tcPr>
          <w:p>
            <w:pPr>
              <w:rPr>
                <w:color w:val="000000" w:themeColor="text1"/>
                <w14:textFill>
                  <w14:solidFill>
                    <w14:schemeClr w14:val="tx1"/>
                  </w14:solidFill>
                </w14:textFill>
              </w:rPr>
            </w:pPr>
            <w:r>
              <w:rPr>
                <w:color w:val="000000" w:themeColor="text1"/>
                <w14:textFill>
                  <w14:solidFill>
                    <w14:schemeClr w14:val="tx1"/>
                  </w14:solidFill>
                </w14:textFill>
              </w:rPr>
              <w:t>招标文件未规定允许有替代方案时，对同一服务投标时，同时提供两套或两套以上的投标方案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7406" w:type="dxa"/>
          </w:tcPr>
          <w:p>
            <w:pPr>
              <w:tabs>
                <w:tab w:val="center" w:pos="3595"/>
              </w:tabs>
              <w:rPr>
                <w:color w:val="000000" w:themeColor="text1"/>
                <w14:textFill>
                  <w14:solidFill>
                    <w14:schemeClr w14:val="tx1"/>
                  </w14:solidFill>
                </w14:textFill>
              </w:rPr>
            </w:pPr>
            <w:r>
              <w:rPr>
                <w:color w:val="000000" w:themeColor="text1"/>
                <w14:textFill>
                  <w14:solidFill>
                    <w14:schemeClr w14:val="tx1"/>
                  </w14:solidFill>
                </w14:textFill>
              </w:rPr>
              <w:t>投标总价高于财政预算限额</w:t>
            </w:r>
            <w:r>
              <w:rPr>
                <w:color w:val="000000" w:themeColor="text1"/>
                <w14:textFill>
                  <w14:solidFill>
                    <w14:schemeClr w14:val="tx1"/>
                  </w14:solidFill>
                </w14:textFill>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7406" w:type="dxa"/>
          </w:tcPr>
          <w:p>
            <w:pPr>
              <w:rPr>
                <w:color w:val="000000" w:themeColor="text1"/>
                <w14:textFill>
                  <w14:solidFill>
                    <w14:schemeClr w14:val="tx1"/>
                  </w14:solidFill>
                </w14:textFill>
              </w:rPr>
            </w:pPr>
            <w:r>
              <w:rPr>
                <w:color w:val="000000" w:themeColor="text1"/>
                <w14:textFill>
                  <w14:solidFill>
                    <w14:schemeClr w14:val="tx1"/>
                  </w14:solidFill>
                </w14:textFill>
              </w:rPr>
              <w:t>同一项目出现两个及以上报价，按规定又无法确定哪个是有效报价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5</w:t>
            </w:r>
          </w:p>
        </w:tc>
        <w:tc>
          <w:tcPr>
            <w:tcW w:w="7406" w:type="dxa"/>
          </w:tcPr>
          <w:p>
            <w:pPr>
              <w:rPr>
                <w:color w:val="000000" w:themeColor="text1"/>
                <w14:textFill>
                  <w14:solidFill>
                    <w14:schemeClr w14:val="tx1"/>
                  </w14:solidFill>
                </w14:textFill>
              </w:rPr>
            </w:pPr>
            <w:r>
              <w:rPr>
                <w:color w:val="000000" w:themeColor="text1"/>
                <w14:textFill>
                  <w14:solidFill>
                    <w14:schemeClr w14:val="tx1"/>
                  </w14:solidFill>
                </w14:textFill>
              </w:rPr>
              <w:t>投标人的报价低于其成本，且不能做出合理说明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6</w:t>
            </w:r>
          </w:p>
        </w:tc>
        <w:tc>
          <w:tcPr>
            <w:tcW w:w="7406" w:type="dxa"/>
          </w:tcPr>
          <w:p>
            <w:pPr>
              <w:rPr>
                <w:color w:val="000000" w:themeColor="text1"/>
                <w14:textFill>
                  <w14:solidFill>
                    <w14:schemeClr w14:val="tx1"/>
                  </w14:solidFill>
                </w14:textFill>
              </w:rPr>
            </w:pPr>
            <w:r>
              <w:rPr>
                <w:color w:val="000000" w:themeColor="text1"/>
                <w14:textFill>
                  <w14:solidFill>
                    <w14:schemeClr w14:val="tx1"/>
                  </w14:solidFill>
                </w14:textFill>
              </w:rPr>
              <w:t>投标文件载明的招标项目完成或服务期限不满足招标文件规定的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7</w:t>
            </w:r>
          </w:p>
        </w:tc>
        <w:tc>
          <w:tcPr>
            <w:tcW w:w="7406" w:type="dxa"/>
          </w:tcPr>
          <w:p>
            <w:pPr>
              <w:rPr>
                <w:color w:val="000000" w:themeColor="text1"/>
                <w14:textFill>
                  <w14:solidFill>
                    <w14:schemeClr w14:val="tx1"/>
                  </w14:solidFill>
                </w14:textFill>
              </w:rPr>
            </w:pPr>
            <w:r>
              <w:rPr>
                <w:color w:val="000000" w:themeColor="text1"/>
                <w14:textFill>
                  <w14:solidFill>
                    <w14:schemeClr w14:val="tx1"/>
                  </w14:solidFill>
                </w14:textFill>
              </w:rPr>
              <w:t>所投产品、工程、服务在质量、技术、方案等方面没有实质性满足招标文件要求（是否实质性满足招标文件要求，由评标委员会来做出评判）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8</w:t>
            </w:r>
          </w:p>
        </w:tc>
        <w:tc>
          <w:tcPr>
            <w:tcW w:w="7406" w:type="dxa"/>
          </w:tcPr>
          <w:p>
            <w:pPr>
              <w:rPr>
                <w:color w:val="000000" w:themeColor="text1"/>
                <w14:textFill>
                  <w14:solidFill>
                    <w14:schemeClr w14:val="tx1"/>
                  </w14:solidFill>
                </w14:textFill>
              </w:rPr>
            </w:pPr>
            <w:r>
              <w:rPr>
                <w:color w:val="000000" w:themeColor="text1"/>
                <w14:textFill>
                  <w14:solidFill>
                    <w14:schemeClr w14:val="tx1"/>
                  </w14:solidFill>
                </w14:textFill>
              </w:rPr>
              <w:t>《技术规格偏离表》或《商务条款偏离表》未按《承诺函》所述填写，经评审小组认定存在不明或不实的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9</w:t>
            </w:r>
          </w:p>
        </w:tc>
        <w:tc>
          <w:tcPr>
            <w:tcW w:w="7406" w:type="dxa"/>
          </w:tcPr>
          <w:p>
            <w:pPr>
              <w:rPr>
                <w:color w:val="000000" w:themeColor="text1"/>
                <w14:textFill>
                  <w14:solidFill>
                    <w14:schemeClr w14:val="tx1"/>
                  </w14:solidFill>
                </w14:textFill>
              </w:rPr>
            </w:pPr>
            <w:r>
              <w:rPr>
                <w:color w:val="000000" w:themeColor="text1"/>
                <w14:textFill>
                  <w14:solidFill>
                    <w14:schemeClr w14:val="tx1"/>
                  </w14:solidFill>
                </w14:textFill>
              </w:rPr>
              <w:t>投标报价有严重缺漏项目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10</w:t>
            </w:r>
          </w:p>
        </w:tc>
        <w:tc>
          <w:tcPr>
            <w:tcW w:w="7406" w:type="dxa"/>
          </w:tcPr>
          <w:p>
            <w:pPr>
              <w:rPr>
                <w:color w:val="000000" w:themeColor="text1"/>
                <w14:textFill>
                  <w14:solidFill>
                    <w14:schemeClr w14:val="tx1"/>
                  </w14:solidFill>
                </w14:textFill>
              </w:rPr>
            </w:pPr>
            <w:r>
              <w:rPr>
                <w:color w:val="000000" w:themeColor="text1"/>
                <w14:textFill>
                  <w14:solidFill>
                    <w14:schemeClr w14:val="tx1"/>
                  </w14:solidFill>
                </w14:textFill>
              </w:rPr>
              <w:t>法律、法规规定的其他情形</w:t>
            </w:r>
          </w:p>
        </w:tc>
      </w:tr>
    </w:tbl>
    <w:p>
      <w:pPr>
        <w:pStyle w:val="4"/>
        <w:jc w:val="center"/>
        <w:rPr>
          <w:color w:val="000000" w:themeColor="text1"/>
          <w:sz w:val="36"/>
          <w14:textFill>
            <w14:solidFill>
              <w14:schemeClr w14:val="tx1"/>
            </w14:solidFill>
          </w14:textFill>
        </w:rPr>
      </w:pPr>
    </w:p>
    <w:p>
      <w:pPr>
        <w:rPr>
          <w:rFonts w:ascii="Arial" w:hAnsi="Arial" w:eastAsia="黑体"/>
          <w:color w:val="000000" w:themeColor="text1"/>
          <w:szCs w:val="32"/>
          <w14:textFill>
            <w14:solidFill>
              <w14:schemeClr w14:val="tx1"/>
            </w14:solidFill>
          </w14:textFill>
        </w:rPr>
      </w:pPr>
      <w:r>
        <w:rPr>
          <w:color w:val="000000" w:themeColor="text1"/>
          <w14:textFill>
            <w14:solidFill>
              <w14:schemeClr w14:val="tx1"/>
            </w14:solidFill>
          </w14:textFill>
        </w:rPr>
        <w:br w:type="page"/>
      </w:r>
    </w:p>
    <w:p>
      <w:pPr>
        <w:pStyle w:val="4"/>
        <w:jc w:val="center"/>
        <w:rPr>
          <w:color w:val="000000" w:themeColor="text1"/>
          <w14:textFill>
            <w14:solidFill>
              <w14:schemeClr w14:val="tx1"/>
            </w14:solidFill>
          </w14:textFill>
        </w:rPr>
      </w:pPr>
      <w:r>
        <w:rPr>
          <w:color w:val="000000" w:themeColor="text1"/>
          <w14:textFill>
            <w14:solidFill>
              <w14:schemeClr w14:val="tx1"/>
            </w14:solidFill>
          </w14:textFill>
        </w:rPr>
        <w:t>评标信息</w:t>
      </w:r>
    </w:p>
    <w:p>
      <w:pPr>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本次评标采用</w:t>
      </w:r>
      <w:r>
        <w:rPr>
          <w:b/>
          <w:color w:val="000000" w:themeColor="text1"/>
          <w:szCs w:val="21"/>
          <w14:textFill>
            <w14:solidFill>
              <w14:schemeClr w14:val="tx1"/>
            </w14:solidFill>
          </w14:textFill>
        </w:rPr>
        <w:t>综合评分法</w:t>
      </w:r>
      <w:r>
        <w:rPr>
          <w:color w:val="000000" w:themeColor="text1"/>
          <w:szCs w:val="21"/>
          <w14:textFill>
            <w14:solidFill>
              <w14:schemeClr w14:val="tx1"/>
            </w14:solidFill>
          </w14:textFill>
        </w:rPr>
        <w:t>，定标办法为</w:t>
      </w:r>
      <w:r>
        <w:rPr>
          <w:rFonts w:hint="eastAsia"/>
          <w:b/>
          <w:color w:val="000000" w:themeColor="text1"/>
          <w:szCs w:val="21"/>
          <w14:textFill>
            <w14:solidFill>
              <w14:schemeClr w14:val="tx1"/>
            </w14:solidFill>
          </w14:textFill>
        </w:rPr>
        <w:t>自定法</w:t>
      </w:r>
      <w:r>
        <w:rPr>
          <w:color w:val="000000" w:themeColor="text1"/>
          <w:szCs w:val="21"/>
          <w14:textFill>
            <w14:solidFill>
              <w14:schemeClr w14:val="tx1"/>
            </w14:solidFill>
          </w14:textFill>
        </w:rPr>
        <w:t>；按照招标文件中规定的各项因素进行量化打分，每个投标单位的总得分以去掉一个最高分和一个最低分后的汇总分的算术平均分确定，以汇总分的算术平均分排序，</w:t>
      </w:r>
      <w:r>
        <w:rPr>
          <w:b/>
          <w:bCs/>
          <w:snapToGrid w:val="0"/>
          <w:color w:val="000000" w:themeColor="text1"/>
          <w:kern w:val="0"/>
          <w:szCs w:val="21"/>
          <w14:textFill>
            <w14:solidFill>
              <w14:schemeClr w14:val="tx1"/>
            </w14:solidFill>
          </w14:textFill>
        </w:rPr>
        <w:t>推荐三家候选中标供应商。</w:t>
      </w:r>
    </w:p>
    <w:p>
      <w:pPr>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确定中标供应商按评审后得分由高到低顺序排列。得分相同的，按投标报价由低到高顺序排列。得分且投标报价相同的，按技术或服务方案优劣顺序排列。</w:t>
      </w:r>
    </w:p>
    <w:p>
      <w:pPr>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评标委员会对每个通过资格性检查和符合性检查且报价不超过预算控制金额的投标供应商进行评审、打分，然后汇总每个投标供应商每项评分因素的评分。</w:t>
      </w:r>
    </w:p>
    <w:p>
      <w:pPr>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评委会在评标时，按照以下量化的评审因素，对进入该阶段评审的各投标文件进行分析和比较：</w:t>
      </w:r>
    </w:p>
    <w:p>
      <w:pPr>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评分标准</w:t>
      </w:r>
    </w:p>
    <w:tbl>
      <w:tblPr>
        <w:tblStyle w:val="24"/>
        <w:tblW w:w="9181" w:type="dxa"/>
        <w:tblInd w:w="5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654"/>
        <w:gridCol w:w="1505"/>
        <w:gridCol w:w="4148"/>
        <w:gridCol w:w="917"/>
        <w:gridCol w:w="1096"/>
        <w:gridCol w:w="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jc w:val="center"/>
              <w:rPr>
                <w:b/>
                <w:color w:val="000000" w:themeColor="text1"/>
                <w:kern w:val="0"/>
                <w14:textFill>
                  <w14:solidFill>
                    <w14:schemeClr w14:val="tx1"/>
                  </w14:solidFill>
                </w14:textFill>
              </w:rPr>
            </w:pPr>
            <w:r>
              <w:rPr>
                <w:rFonts w:hint="eastAsia"/>
                <w:b/>
                <w:color w:val="000000" w:themeColor="text1"/>
                <w:kern w:val="0"/>
                <w14:textFill>
                  <w14:solidFill>
                    <w14:schemeClr w14:val="tx1"/>
                  </w14:solidFill>
                </w14:textFill>
              </w:rPr>
              <w:t>1</w:t>
            </w:r>
          </w:p>
        </w:tc>
        <w:tc>
          <w:tcPr>
            <w:tcW w:w="6307" w:type="dxa"/>
            <w:gridSpan w:val="3"/>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jc w:val="center"/>
              <w:rPr>
                <w:b/>
                <w:color w:val="000000" w:themeColor="text1"/>
                <w:kern w:val="0"/>
                <w14:textFill>
                  <w14:solidFill>
                    <w14:schemeClr w14:val="tx1"/>
                  </w14:solidFill>
                </w14:textFill>
              </w:rPr>
            </w:pPr>
            <w:r>
              <w:rPr>
                <w:rFonts w:hint="eastAsia"/>
                <w:b/>
                <w:color w:val="000000" w:themeColor="text1"/>
                <w:kern w:val="0"/>
                <w14:textFill>
                  <w14:solidFill>
                    <w14:schemeClr w14:val="tx1"/>
                  </w14:solidFill>
                </w14:textFill>
              </w:rPr>
              <w:t>价格部分</w:t>
            </w:r>
          </w:p>
        </w:tc>
        <w:tc>
          <w:tcPr>
            <w:tcW w:w="2089" w:type="dxa"/>
            <w:gridSpan w:val="3"/>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jc w:val="center"/>
              <w:rPr>
                <w:b/>
                <w:color w:val="000000" w:themeColor="text1"/>
                <w:kern w:val="0"/>
                <w14:textFill>
                  <w14:solidFill>
                    <w14:schemeClr w14:val="tx1"/>
                  </w14:solidFill>
                </w14:textFill>
              </w:rPr>
            </w:pPr>
            <w:r>
              <w:rPr>
                <w:rFonts w:hint="eastAsia"/>
                <w:b/>
                <w:color w:val="000000" w:themeColor="text1"/>
                <w:kern w:val="0"/>
                <w14:textFill>
                  <w14:solidFill>
                    <w14:schemeClr w14:val="tx1"/>
                  </w14:solidFill>
                </w14:textFill>
              </w:rPr>
              <w:t xml:space="preserve">  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Merge w:val="restart"/>
            <w:tcBorders>
              <w:top w:val="single" w:color="auto" w:sz="4" w:space="0"/>
              <w:left w:val="single" w:color="auto" w:sz="4" w:space="0"/>
              <w:right w:val="single" w:color="auto" w:sz="4" w:space="0"/>
              <w:tl2br w:val="nil"/>
              <w:tr2bl w:val="nil"/>
            </w:tcBorders>
          </w:tcPr>
          <w:p>
            <w:pPr>
              <w:widowControl/>
              <w:spacing w:before="100" w:beforeAutospacing="1" w:after="100" w:afterAutospacing="1"/>
              <w:jc w:val="center"/>
              <w:rPr>
                <w:b/>
                <w:color w:val="000000" w:themeColor="text1"/>
                <w:kern w:val="0"/>
                <w14:textFill>
                  <w14:solidFill>
                    <w14:schemeClr w14:val="tx1"/>
                  </w14:solidFill>
                </w14:textFill>
              </w:rPr>
            </w:pPr>
          </w:p>
        </w:tc>
        <w:tc>
          <w:tcPr>
            <w:tcW w:w="654"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jc w:val="center"/>
              <w:rPr>
                <w:b/>
                <w:color w:val="000000" w:themeColor="text1"/>
                <w:kern w:val="0"/>
                <w14:textFill>
                  <w14:solidFill>
                    <w14:schemeClr w14:val="tx1"/>
                  </w14:solidFill>
                </w14:textFill>
              </w:rPr>
            </w:pPr>
            <w:r>
              <w:rPr>
                <w:rFonts w:hint="eastAsia"/>
                <w:b/>
                <w:color w:val="000000" w:themeColor="text1"/>
                <w:kern w:val="0"/>
                <w14:textFill>
                  <w14:solidFill>
                    <w14:schemeClr w14:val="tx1"/>
                  </w14:solidFill>
                </w14:textFill>
              </w:rPr>
              <w:t>序号</w:t>
            </w:r>
          </w:p>
        </w:tc>
        <w:tc>
          <w:tcPr>
            <w:tcW w:w="1505"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jc w:val="center"/>
              <w:rPr>
                <w:b/>
                <w:color w:val="000000" w:themeColor="text1"/>
                <w:kern w:val="0"/>
                <w14:textFill>
                  <w14:solidFill>
                    <w14:schemeClr w14:val="tx1"/>
                  </w14:solidFill>
                </w14:textFill>
              </w:rPr>
            </w:pPr>
            <w:r>
              <w:rPr>
                <w:rFonts w:hint="eastAsia"/>
                <w:b/>
                <w:color w:val="000000" w:themeColor="text1"/>
                <w:kern w:val="0"/>
                <w14:textFill>
                  <w14:solidFill>
                    <w14:schemeClr w14:val="tx1"/>
                  </w14:solidFill>
                </w14:textFill>
              </w:rPr>
              <w:t>内容</w:t>
            </w:r>
          </w:p>
        </w:tc>
        <w:tc>
          <w:tcPr>
            <w:tcW w:w="4148"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jc w:val="center"/>
              <w:rPr>
                <w:b/>
                <w:color w:val="000000" w:themeColor="text1"/>
                <w:kern w:val="0"/>
                <w14:textFill>
                  <w14:solidFill>
                    <w14:schemeClr w14:val="tx1"/>
                  </w14:solidFill>
                </w14:textFill>
              </w:rPr>
            </w:pPr>
            <w:r>
              <w:rPr>
                <w:rFonts w:hint="eastAsia"/>
                <w:b/>
                <w:color w:val="000000" w:themeColor="text1"/>
                <w:kern w:val="0"/>
                <w14:textFill>
                  <w14:solidFill>
                    <w14:schemeClr w14:val="tx1"/>
                  </w14:solidFill>
                </w14:textFill>
              </w:rPr>
              <w:t>评分规则</w:t>
            </w:r>
          </w:p>
        </w:tc>
        <w:tc>
          <w:tcPr>
            <w:tcW w:w="917"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jc w:val="center"/>
              <w:rPr>
                <w:b/>
                <w:color w:val="000000" w:themeColor="text1"/>
                <w:kern w:val="0"/>
                <w14:textFill>
                  <w14:solidFill>
                    <w14:schemeClr w14:val="tx1"/>
                  </w14:solidFill>
                </w14:textFill>
              </w:rPr>
            </w:pPr>
            <w:r>
              <w:rPr>
                <w:rFonts w:hint="eastAsia"/>
                <w:b/>
                <w:color w:val="000000" w:themeColor="text1"/>
                <w:kern w:val="0"/>
                <w14:textFill>
                  <w14:solidFill>
                    <w14:schemeClr w14:val="tx1"/>
                  </w14:solidFill>
                </w14:textFill>
              </w:rPr>
              <w:t>权重</w:t>
            </w:r>
          </w:p>
        </w:tc>
        <w:tc>
          <w:tcPr>
            <w:tcW w:w="1172" w:type="dxa"/>
            <w:gridSpan w:val="2"/>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jc w:val="center"/>
              <w:rPr>
                <w:b/>
                <w:color w:val="000000" w:themeColor="text1"/>
                <w:kern w:val="0"/>
                <w14:textFill>
                  <w14:solidFill>
                    <w14:schemeClr w14:val="tx1"/>
                  </w14:solidFill>
                </w14:textFill>
              </w:rPr>
            </w:pPr>
            <w:r>
              <w:rPr>
                <w:rFonts w:hint="eastAsia"/>
                <w:b/>
                <w:color w:val="000000" w:themeColor="text1"/>
                <w:kern w:val="0"/>
                <w14:textFill>
                  <w14:solidFill>
                    <w14:schemeClr w14:val="tx1"/>
                  </w14:solidFill>
                </w14:textFill>
              </w:rPr>
              <w:t>评分方式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785" w:type="dxa"/>
            <w:vMerge w:val="continue"/>
            <w:tcBorders>
              <w:left w:val="single" w:color="auto" w:sz="4" w:space="0"/>
              <w:bottom w:val="single" w:color="auto" w:sz="4" w:space="0"/>
              <w:right w:val="single" w:color="auto" w:sz="4" w:space="0"/>
              <w:tl2br w:val="nil"/>
              <w:tr2bl w:val="nil"/>
            </w:tcBorders>
          </w:tcPr>
          <w:p>
            <w:pPr>
              <w:widowControl/>
              <w:spacing w:before="100" w:beforeAutospacing="1" w:after="100" w:afterAutospacing="1"/>
              <w:jc w:val="center"/>
              <w:rPr>
                <w:color w:val="000000" w:themeColor="text1"/>
                <w:kern w:val="0"/>
                <w14:textFill>
                  <w14:solidFill>
                    <w14:schemeClr w14:val="tx1"/>
                  </w14:solidFill>
                </w14:textFill>
              </w:rPr>
            </w:pPr>
          </w:p>
        </w:tc>
        <w:tc>
          <w:tcPr>
            <w:tcW w:w="65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50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价格</w:t>
            </w:r>
          </w:p>
        </w:tc>
        <w:tc>
          <w:tcPr>
            <w:tcW w:w="4148" w:type="dxa"/>
            <w:tcBorders>
              <w:top w:val="single" w:color="auto" w:sz="4" w:space="0"/>
              <w:left w:val="single" w:color="auto" w:sz="4" w:space="0"/>
              <w:bottom w:val="single" w:color="auto" w:sz="4" w:space="0"/>
              <w:right w:val="single" w:color="auto" w:sz="4" w:space="0"/>
              <w:tl2br w:val="nil"/>
              <w:tr2bl w:val="nil"/>
            </w:tcBorders>
            <w:vAlign w:val="center"/>
          </w:tcPr>
          <w:p>
            <w:pPr>
              <w:pStyle w:val="16"/>
              <w:pBdr>
                <w:bottom w:val="none" w:color="auto" w:sz="0" w:space="0"/>
              </w:pBdr>
              <w:tabs>
                <w:tab w:val="clear" w:pos="4153"/>
                <w:tab w:val="clear" w:pos="8306"/>
              </w:tabs>
              <w:jc w:val="both"/>
              <w:rPr>
                <w:rFonts w:hAnsi="宋体"/>
                <w:color w:val="000000" w:themeColor="text1"/>
                <w:sz w:val="21"/>
                <w14:textFill>
                  <w14:solidFill>
                    <w14:schemeClr w14:val="tx1"/>
                  </w14:solidFill>
                </w14:textFill>
              </w:rPr>
            </w:pPr>
            <w:r>
              <w:rPr>
                <w:rFonts w:hAnsi="宋体"/>
                <w:color w:val="000000" w:themeColor="text1"/>
                <w:sz w:val="21"/>
                <w14:textFill>
                  <w14:solidFill>
                    <w14:schemeClr w14:val="tx1"/>
                  </w14:solidFill>
                </w14:textFill>
              </w:rPr>
              <w:t>价格分=[1-（投标报价-最低价）/最低价]×价格权重×100</w:t>
            </w:r>
          </w:p>
          <w:p>
            <w:pPr>
              <w:pStyle w:val="16"/>
              <w:pBdr>
                <w:bottom w:val="none" w:color="auto" w:sz="0" w:space="0"/>
              </w:pBdr>
              <w:tabs>
                <w:tab w:val="clear" w:pos="4153"/>
                <w:tab w:val="clear" w:pos="8306"/>
              </w:tabs>
              <w:jc w:val="both"/>
              <w:rPr>
                <w:color w:val="000000" w:themeColor="text1"/>
                <w14:textFill>
                  <w14:solidFill>
                    <w14:schemeClr w14:val="tx1"/>
                  </w14:solidFill>
                </w14:textFill>
              </w:rPr>
            </w:pPr>
            <w:r>
              <w:rPr>
                <w:rFonts w:hint="eastAsia" w:hAnsi="宋体"/>
                <w:color w:val="000000" w:themeColor="text1"/>
                <w:sz w:val="21"/>
                <w14:textFill>
                  <w14:solidFill>
                    <w14:schemeClr w14:val="tx1"/>
                  </w14:solidFill>
                </w14:textFill>
              </w:rPr>
              <w:t>如报价低于招标控制金额70%的必须做合理的说明，否则视为恶性竞争，将按招标控制金额的100%重新计算报价得分。</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90" w:lineRule="atLeast"/>
              <w:jc w:val="center"/>
              <w:rPr>
                <w:color w:val="000000" w:themeColor="text1"/>
                <w14:textFill>
                  <w14:solidFill>
                    <w14:schemeClr w14:val="tx1"/>
                  </w14:solidFill>
                </w14:textFill>
              </w:rPr>
            </w:pPr>
            <w:r>
              <w:rPr>
                <w:rFonts w:hint="eastAsia"/>
                <w:color w:val="000000" w:themeColor="text1"/>
                <w:kern w:val="0"/>
                <w14:textFill>
                  <w14:solidFill>
                    <w14:schemeClr w14:val="tx1"/>
                  </w14:solidFill>
                </w14:textFill>
              </w:rPr>
              <w:t>30</w:t>
            </w:r>
          </w:p>
        </w:tc>
        <w:tc>
          <w:tcPr>
            <w:tcW w:w="1172"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jc w:val="center"/>
              <w:rPr>
                <w:b/>
                <w:color w:val="000000" w:themeColor="text1"/>
                <w:kern w:val="0"/>
                <w14:textFill>
                  <w14:solidFill>
                    <w14:schemeClr w14:val="tx1"/>
                  </w14:solidFill>
                </w14:textFill>
              </w:rPr>
            </w:pPr>
            <w:r>
              <w:rPr>
                <w:b/>
                <w:color w:val="000000" w:themeColor="text1"/>
                <w:kern w:val="0"/>
                <w14:textFill>
                  <w14:solidFill>
                    <w14:schemeClr w14:val="tx1"/>
                  </w14:solidFill>
                </w14:textFill>
              </w:rPr>
              <w:t>2</w:t>
            </w:r>
          </w:p>
        </w:tc>
        <w:tc>
          <w:tcPr>
            <w:tcW w:w="7224" w:type="dxa"/>
            <w:gridSpan w:val="4"/>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jc w:val="center"/>
              <w:rPr>
                <w:b/>
                <w:color w:val="000000" w:themeColor="text1"/>
                <w:kern w:val="0"/>
                <w14:textFill>
                  <w14:solidFill>
                    <w14:schemeClr w14:val="tx1"/>
                  </w14:solidFill>
                </w14:textFill>
              </w:rPr>
            </w:pPr>
            <w:r>
              <w:rPr>
                <w:rFonts w:hint="eastAsia"/>
                <w:b/>
                <w:color w:val="000000" w:themeColor="text1"/>
                <w:kern w:val="0"/>
                <w14:textFill>
                  <w14:solidFill>
                    <w14:schemeClr w14:val="tx1"/>
                  </w14:solidFill>
                </w14:textFill>
              </w:rPr>
              <w:t>技术部分</w:t>
            </w:r>
          </w:p>
        </w:tc>
        <w:tc>
          <w:tcPr>
            <w:tcW w:w="1172" w:type="dxa"/>
            <w:gridSpan w:val="2"/>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jc w:val="center"/>
              <w:rPr>
                <w:b/>
                <w:color w:val="000000" w:themeColor="text1"/>
                <w:kern w:val="0"/>
                <w14:textFill>
                  <w14:solidFill>
                    <w14:schemeClr w14:val="tx1"/>
                  </w14:solidFill>
                </w14:textFill>
              </w:rPr>
            </w:pPr>
            <w:r>
              <w:rPr>
                <w:rFonts w:hint="eastAsia"/>
                <w:b/>
                <w:color w:val="000000" w:themeColor="text1"/>
                <w:kern w:val="0"/>
                <w14:textFill>
                  <w14:solidFill>
                    <w14:schemeClr w14:val="tx1"/>
                  </w14:solidFill>
                </w14:textFill>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trPr>
        <w:tc>
          <w:tcPr>
            <w:tcW w:w="785" w:type="dxa"/>
            <w:vMerge w:val="restart"/>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36" w:lineRule="atLeast"/>
              <w:jc w:val="center"/>
              <w:rPr>
                <w:b/>
                <w:color w:val="000000" w:themeColor="text1"/>
                <w:kern w:val="0"/>
                <w14:textFill>
                  <w14:solidFill>
                    <w14:schemeClr w14:val="tx1"/>
                  </w14:solidFill>
                </w14:textFill>
              </w:rPr>
            </w:pPr>
          </w:p>
        </w:tc>
        <w:tc>
          <w:tcPr>
            <w:tcW w:w="65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36" w:lineRule="atLeast"/>
              <w:jc w:val="center"/>
              <w:rPr>
                <w:b/>
                <w:color w:val="000000" w:themeColor="text1"/>
                <w:kern w:val="0"/>
                <w14:textFill>
                  <w14:solidFill>
                    <w14:schemeClr w14:val="tx1"/>
                  </w14:solidFill>
                </w14:textFill>
              </w:rPr>
            </w:pPr>
            <w:r>
              <w:rPr>
                <w:rFonts w:hint="eastAsia"/>
                <w:b/>
                <w:color w:val="000000" w:themeColor="text1"/>
                <w:kern w:val="0"/>
                <w14:textFill>
                  <w14:solidFill>
                    <w14:schemeClr w14:val="tx1"/>
                  </w14:solidFill>
                </w14:textFill>
              </w:rPr>
              <w:t>序号</w:t>
            </w:r>
          </w:p>
        </w:tc>
        <w:tc>
          <w:tcPr>
            <w:tcW w:w="150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36" w:lineRule="atLeast"/>
              <w:jc w:val="center"/>
              <w:rPr>
                <w:b/>
                <w:color w:val="000000" w:themeColor="text1"/>
                <w:kern w:val="0"/>
                <w14:textFill>
                  <w14:solidFill>
                    <w14:schemeClr w14:val="tx1"/>
                  </w14:solidFill>
                </w14:textFill>
              </w:rPr>
            </w:pPr>
            <w:r>
              <w:rPr>
                <w:rFonts w:hint="eastAsia"/>
                <w:b/>
                <w:color w:val="000000" w:themeColor="text1"/>
                <w:kern w:val="0"/>
                <w14:textFill>
                  <w14:solidFill>
                    <w14:schemeClr w14:val="tx1"/>
                  </w14:solidFill>
                </w14:textFill>
              </w:rPr>
              <w:t>内容</w:t>
            </w:r>
          </w:p>
        </w:tc>
        <w:tc>
          <w:tcPr>
            <w:tcW w:w="414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36" w:lineRule="atLeast"/>
              <w:jc w:val="center"/>
              <w:rPr>
                <w:b/>
                <w:color w:val="000000" w:themeColor="text1"/>
                <w:kern w:val="0"/>
                <w14:textFill>
                  <w14:solidFill>
                    <w14:schemeClr w14:val="tx1"/>
                  </w14:solidFill>
                </w14:textFill>
              </w:rPr>
            </w:pPr>
            <w:r>
              <w:rPr>
                <w:rFonts w:hint="eastAsia"/>
                <w:b/>
                <w:color w:val="000000" w:themeColor="text1"/>
                <w:kern w:val="0"/>
                <w14:textFill>
                  <w14:solidFill>
                    <w14:schemeClr w14:val="tx1"/>
                  </w14:solidFill>
                </w14:textFill>
              </w:rPr>
              <w:t>评分规则</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36" w:lineRule="atLeast"/>
              <w:jc w:val="center"/>
              <w:rPr>
                <w:b/>
                <w:color w:val="000000" w:themeColor="text1"/>
                <w:kern w:val="0"/>
                <w14:textFill>
                  <w14:solidFill>
                    <w14:schemeClr w14:val="tx1"/>
                  </w14:solidFill>
                </w14:textFill>
              </w:rPr>
            </w:pPr>
            <w:r>
              <w:rPr>
                <w:rFonts w:hint="eastAsia"/>
                <w:b/>
                <w:color w:val="000000" w:themeColor="text1"/>
                <w:kern w:val="0"/>
                <w14:textFill>
                  <w14:solidFill>
                    <w14:schemeClr w14:val="tx1"/>
                  </w14:solidFill>
                </w14:textFill>
              </w:rPr>
              <w:t>权重</w:t>
            </w:r>
          </w:p>
        </w:tc>
        <w:tc>
          <w:tcPr>
            <w:tcW w:w="1172"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36" w:lineRule="atLeast"/>
              <w:jc w:val="center"/>
              <w:rPr>
                <w:b/>
                <w:color w:val="000000" w:themeColor="text1"/>
                <w:kern w:val="0"/>
                <w14:textFill>
                  <w14:solidFill>
                    <w14:schemeClr w14:val="tx1"/>
                  </w14:solidFill>
                </w14:textFill>
              </w:rPr>
            </w:pPr>
            <w:r>
              <w:rPr>
                <w:rFonts w:hint="eastAsia"/>
                <w:b/>
                <w:color w:val="000000" w:themeColor="text1"/>
                <w:kern w:val="0"/>
                <w14:textFill>
                  <w14:solidFill>
                    <w14:schemeClr w14:val="tx1"/>
                  </w14:solidFill>
                </w14:textFill>
              </w:rPr>
              <w:t>评分方式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8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color w:val="000000" w:themeColor="text1"/>
                <w:kern w:val="0"/>
                <w14:textFill>
                  <w14:solidFill>
                    <w14:schemeClr w14:val="tx1"/>
                  </w14:solidFill>
                </w14:textFill>
              </w:rPr>
            </w:pPr>
          </w:p>
        </w:tc>
        <w:tc>
          <w:tcPr>
            <w:tcW w:w="65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90" w:lineRule="atLeast"/>
              <w:jc w:val="center"/>
              <w:rPr>
                <w:color w:val="000000" w:themeColor="text1"/>
                <w:kern w:val="0"/>
                <w14:textFill>
                  <w14:solidFill>
                    <w14:schemeClr w14:val="tx1"/>
                  </w14:solidFill>
                </w14:textFill>
              </w:rPr>
            </w:pPr>
            <w:r>
              <w:rPr>
                <w:color w:val="000000" w:themeColor="text1"/>
                <w:kern w:val="0"/>
                <w14:textFill>
                  <w14:solidFill>
                    <w14:schemeClr w14:val="tx1"/>
                  </w14:solidFill>
                </w14:textFill>
              </w:rPr>
              <w:t>1</w:t>
            </w:r>
          </w:p>
        </w:tc>
        <w:tc>
          <w:tcPr>
            <w:tcW w:w="150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实施</w:t>
            </w:r>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方案</w:t>
            </w:r>
          </w:p>
        </w:tc>
        <w:tc>
          <w:tcPr>
            <w:tcW w:w="4148" w:type="dxa"/>
            <w:tcBorders>
              <w:top w:val="single" w:color="auto" w:sz="4" w:space="0"/>
              <w:left w:val="single" w:color="auto" w:sz="4" w:space="0"/>
              <w:bottom w:val="single" w:color="auto" w:sz="4" w:space="0"/>
              <w:right w:val="single" w:color="auto" w:sz="4" w:space="0"/>
              <w:tl2br w:val="nil"/>
              <w:tr2bl w:val="nil"/>
            </w:tcBorders>
            <w:vAlign w:val="center"/>
          </w:tcPr>
          <w:p>
            <w:pPr>
              <w:pStyle w:val="16"/>
              <w:pBdr>
                <w:bottom w:val="none" w:color="auto" w:sz="0" w:space="0"/>
              </w:pBdr>
              <w:tabs>
                <w:tab w:val="clear" w:pos="4153"/>
                <w:tab w:val="clear" w:pos="8306"/>
              </w:tabs>
              <w:jc w:val="both"/>
              <w:rPr>
                <w:rFonts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对投标单位根据招标采购需求编制的项目实施方案（含二次开发）进行综合评定，专家根据方案内容酌情打分：</w:t>
            </w:r>
          </w:p>
          <w:p>
            <w:pPr>
              <w:pStyle w:val="16"/>
              <w:pBdr>
                <w:bottom w:val="none" w:color="auto" w:sz="0" w:space="0"/>
              </w:pBdr>
              <w:tabs>
                <w:tab w:val="clear" w:pos="4153"/>
                <w:tab w:val="clear" w:pos="8306"/>
              </w:tabs>
              <w:jc w:val="both"/>
              <w:rPr>
                <w:rFonts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1）根据投标单位的项目实施方案需包含时间进度、项目管理方案、工程实施方案、软件开发方案、部署方案、质量保证措施、验收标准及验收方法等相关内容，提供实施过程文档范例、开发工具、版本库、系统发布、远程服务截图。（完全提供且满足进度与项目管理要求的，根据优劣得 0-15 分，缺漏项的不得分）</w:t>
            </w:r>
          </w:p>
          <w:p>
            <w:pPr>
              <w:pStyle w:val="16"/>
              <w:pBdr>
                <w:bottom w:val="none" w:color="auto" w:sz="0" w:space="0"/>
              </w:pBdr>
              <w:tabs>
                <w:tab w:val="clear" w:pos="4153"/>
                <w:tab w:val="clear" w:pos="8306"/>
              </w:tabs>
              <w:jc w:val="both"/>
              <w:rPr>
                <w:rFonts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应进行系统的信息安全风险分析，在风险分析的基础上进行系统的 安全设计，并落实到具体的管理与技术措施，确保系统能够对系统故障、内外部攻击、病毒、灾害等威胁产生的</w:t>
            </w:r>
            <w:bookmarkStart w:id="224" w:name="_GoBack"/>
            <w:bookmarkEnd w:id="224"/>
            <w:r>
              <w:rPr>
                <w:rFonts w:hint="eastAsia" w:hAnsi="宋体"/>
                <w:color w:val="000000" w:themeColor="text1"/>
                <w:sz w:val="21"/>
                <w14:textFill>
                  <w14:solidFill>
                    <w14:schemeClr w14:val="tx1"/>
                  </w14:solidFill>
                </w14:textFill>
              </w:rPr>
              <w:t>风险进行有效控制，保障业务的连续性，并满足等级保护二级要求。</w:t>
            </w:r>
          </w:p>
          <w:p>
            <w:pPr>
              <w:pStyle w:val="16"/>
              <w:pBdr>
                <w:bottom w:val="none" w:color="auto" w:sz="0" w:space="0"/>
              </w:pBdr>
              <w:tabs>
                <w:tab w:val="clear" w:pos="4153"/>
                <w:tab w:val="clear" w:pos="8306"/>
              </w:tabs>
              <w:jc w:val="both"/>
              <w:rPr>
                <w:rFonts w:ascii="宋体" w:hAnsi="宋体"/>
                <w:color w:val="000000" w:themeColor="text1"/>
                <w14:textFill>
                  <w14:solidFill>
                    <w14:schemeClr w14:val="tx1"/>
                  </w14:solidFill>
                </w14:textFill>
              </w:rPr>
            </w:pPr>
            <w:r>
              <w:rPr>
                <w:rFonts w:hint="eastAsia" w:hAnsi="宋体"/>
                <w:color w:val="000000" w:themeColor="text1"/>
                <w:sz w:val="21"/>
                <w14:textFill>
                  <w14:solidFill>
                    <w14:schemeClr w14:val="tx1"/>
                  </w14:solidFill>
                </w14:textFill>
              </w:rPr>
              <w:t>（完全满足根据优劣得0-10 分，缺漏项的不得分）</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90" w:lineRule="atLeast"/>
              <w:jc w:val="cente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25</w:t>
            </w:r>
          </w:p>
        </w:tc>
        <w:tc>
          <w:tcPr>
            <w:tcW w:w="1172"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90" w:lineRule="atLeast"/>
              <w:jc w:val="cente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78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color w:val="000000" w:themeColor="text1"/>
                <w:kern w:val="0"/>
                <w14:textFill>
                  <w14:solidFill>
                    <w14:schemeClr w14:val="tx1"/>
                  </w14:solidFill>
                </w14:textFill>
              </w:rPr>
            </w:pPr>
          </w:p>
        </w:tc>
        <w:tc>
          <w:tcPr>
            <w:tcW w:w="65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31" w:lineRule="atLeast"/>
              <w:jc w:val="center"/>
              <w:rPr>
                <w:color w:val="000000" w:themeColor="text1"/>
                <w:kern w:val="0"/>
                <w14:textFill>
                  <w14:solidFill>
                    <w14:schemeClr w14:val="tx1"/>
                  </w14:solidFill>
                </w14:textFill>
              </w:rPr>
            </w:pPr>
            <w:r>
              <w:rPr>
                <w:color w:val="000000" w:themeColor="text1"/>
                <w:kern w:val="0"/>
                <w14:textFill>
                  <w14:solidFill>
                    <w14:schemeClr w14:val="tx1"/>
                  </w14:solidFill>
                </w14:textFill>
              </w:rPr>
              <w:t>2</w:t>
            </w:r>
          </w:p>
        </w:tc>
        <w:tc>
          <w:tcPr>
            <w:tcW w:w="150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000000" w:themeColor="text1"/>
                <w14:textFill>
                  <w14:solidFill>
                    <w14:schemeClr w14:val="tx1"/>
                  </w14:solidFill>
                </w14:textFill>
              </w:rPr>
            </w:pPr>
            <w:r>
              <w:rPr>
                <w:rFonts w:hint="eastAsia"/>
                <w:color w:val="000000" w:themeColor="text1"/>
                <w14:textFill>
                  <w14:solidFill>
                    <w14:schemeClr w14:val="tx1"/>
                  </w14:solidFill>
                </w14:textFill>
              </w:rPr>
              <w:t>系统演示（演示类似项目门户至少10套及可视化系统）</w:t>
            </w:r>
          </w:p>
        </w:tc>
        <w:tc>
          <w:tcPr>
            <w:tcW w:w="4148" w:type="dxa"/>
            <w:tcBorders>
              <w:top w:val="single" w:color="auto" w:sz="4" w:space="0"/>
              <w:left w:val="single" w:color="auto" w:sz="4" w:space="0"/>
              <w:bottom w:val="single" w:color="auto" w:sz="4" w:space="0"/>
              <w:right w:val="single" w:color="auto" w:sz="4" w:space="0"/>
              <w:tl2br w:val="nil"/>
              <w:tr2bl w:val="nil"/>
            </w:tcBorders>
            <w:vAlign w:val="center"/>
          </w:tcPr>
          <w:p>
            <w:pPr>
              <w:pStyle w:val="16"/>
              <w:pBdr>
                <w:bottom w:val="none" w:color="auto" w:sz="0" w:space="0"/>
              </w:pBdr>
              <w:tabs>
                <w:tab w:val="clear" w:pos="4153"/>
                <w:tab w:val="clear" w:pos="8306"/>
              </w:tabs>
              <w:jc w:val="both"/>
              <w:rPr>
                <w:rFonts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门户网站：现场进行类似案例门户演示。</w:t>
            </w:r>
          </w:p>
          <w:p>
            <w:pPr>
              <w:pStyle w:val="16"/>
              <w:pBdr>
                <w:bottom w:val="none" w:color="auto" w:sz="0" w:space="0"/>
              </w:pBdr>
              <w:tabs>
                <w:tab w:val="clear" w:pos="4153"/>
                <w:tab w:val="clear" w:pos="8306"/>
              </w:tabs>
              <w:jc w:val="both"/>
              <w:rPr>
                <w:rFonts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（满分值为10；完全满足根据优劣得0-10 分，不足10套不得分。）</w:t>
            </w:r>
          </w:p>
          <w:p>
            <w:pPr>
              <w:pStyle w:val="16"/>
              <w:pBdr>
                <w:bottom w:val="none" w:color="auto" w:sz="0" w:space="0"/>
              </w:pBdr>
              <w:tabs>
                <w:tab w:val="clear" w:pos="4153"/>
                <w:tab w:val="clear" w:pos="8306"/>
              </w:tabs>
              <w:jc w:val="both"/>
              <w:rPr>
                <w:rFonts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可视化展示：现场进行视频信息采集、楼宇设备标识点添加、物联数据关联操作等。</w:t>
            </w:r>
          </w:p>
          <w:p>
            <w:pPr>
              <w:pStyle w:val="16"/>
              <w:pBdr>
                <w:bottom w:val="none" w:color="auto" w:sz="0" w:space="0"/>
              </w:pBdr>
              <w:tabs>
                <w:tab w:val="clear" w:pos="4153"/>
                <w:tab w:val="clear" w:pos="8306"/>
              </w:tabs>
              <w:jc w:val="both"/>
              <w:rPr>
                <w:rFonts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（满分值为10；演示完整且采用数据库动态数据的得6-10分；有缺漏项的得0-2分；</w:t>
            </w:r>
          </w:p>
          <w:p>
            <w:pPr>
              <w:pStyle w:val="16"/>
              <w:pBdr>
                <w:bottom w:val="none" w:color="auto" w:sz="0" w:space="0"/>
              </w:pBdr>
              <w:tabs>
                <w:tab w:val="clear" w:pos="4153"/>
                <w:tab w:val="clear" w:pos="8306"/>
              </w:tabs>
              <w:jc w:val="both"/>
              <w:rPr>
                <w:rFonts w:ascii="宋体" w:hAnsi="宋体"/>
                <w:color w:val="000000" w:themeColor="text1"/>
                <w14:textFill>
                  <w14:solidFill>
                    <w14:schemeClr w14:val="tx1"/>
                  </w14:solidFill>
                </w14:textFill>
              </w:rPr>
            </w:pPr>
            <w:r>
              <w:rPr>
                <w:rFonts w:hint="eastAsia" w:hAnsi="宋体"/>
                <w:color w:val="000000" w:themeColor="text1"/>
                <w:sz w:val="21"/>
                <w14:textFill>
                  <w14:solidFill>
                    <w14:schemeClr w14:val="tx1"/>
                  </w14:solidFill>
                </w14:textFill>
              </w:rPr>
              <w:t>现场未演示、采用静态页面、未按要求演示的不得分）</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31" w:lineRule="atLeast"/>
              <w:jc w:val="cente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20</w:t>
            </w:r>
          </w:p>
        </w:tc>
        <w:tc>
          <w:tcPr>
            <w:tcW w:w="1172"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31" w:lineRule="atLeast"/>
              <w:jc w:val="cente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785"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31" w:lineRule="atLeast"/>
              <w:jc w:val="center"/>
              <w:rPr>
                <w:b/>
                <w:color w:val="000000" w:themeColor="text1"/>
                <w:kern w:val="0"/>
                <w14:textFill>
                  <w14:solidFill>
                    <w14:schemeClr w14:val="tx1"/>
                  </w14:solidFill>
                </w14:textFill>
              </w:rPr>
            </w:pPr>
            <w:r>
              <w:rPr>
                <w:b/>
                <w:color w:val="000000" w:themeColor="text1"/>
                <w:kern w:val="0"/>
                <w14:textFill>
                  <w14:solidFill>
                    <w14:schemeClr w14:val="tx1"/>
                  </w14:solidFill>
                </w14:textFill>
              </w:rPr>
              <w:t>3</w:t>
            </w:r>
          </w:p>
        </w:tc>
        <w:tc>
          <w:tcPr>
            <w:tcW w:w="6307" w:type="dxa"/>
            <w:gridSpan w:val="3"/>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31" w:lineRule="atLeast"/>
              <w:jc w:val="center"/>
              <w:rPr>
                <w:b/>
                <w:color w:val="000000" w:themeColor="text1"/>
                <w:kern w:val="0"/>
                <w14:textFill>
                  <w14:solidFill>
                    <w14:schemeClr w14:val="tx1"/>
                  </w14:solidFill>
                </w14:textFill>
              </w:rPr>
            </w:pPr>
            <w:r>
              <w:rPr>
                <w:rFonts w:hint="eastAsia"/>
                <w:b/>
                <w:color w:val="000000" w:themeColor="text1"/>
                <w:kern w:val="0"/>
                <w14:textFill>
                  <w14:solidFill>
                    <w14:schemeClr w14:val="tx1"/>
                  </w14:solidFill>
                </w14:textFill>
              </w:rPr>
              <w:t>商务部分</w:t>
            </w:r>
          </w:p>
        </w:tc>
        <w:tc>
          <w:tcPr>
            <w:tcW w:w="917"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31" w:lineRule="atLeast"/>
              <w:jc w:val="center"/>
              <w:rPr>
                <w:b/>
                <w:color w:val="000000" w:themeColor="text1"/>
                <w:kern w:val="0"/>
                <w14:textFill>
                  <w14:solidFill>
                    <w14:schemeClr w14:val="tx1"/>
                  </w14:solidFill>
                </w14:textFill>
              </w:rPr>
            </w:pPr>
          </w:p>
        </w:tc>
        <w:tc>
          <w:tcPr>
            <w:tcW w:w="1172" w:type="dxa"/>
            <w:gridSpan w:val="2"/>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31" w:lineRule="atLeast"/>
              <w:jc w:val="center"/>
              <w:rPr>
                <w:b/>
                <w:color w:val="000000" w:themeColor="text1"/>
                <w:kern w:val="0"/>
                <w14:textFill>
                  <w14:solidFill>
                    <w14:schemeClr w14:val="tx1"/>
                  </w14:solidFill>
                </w14:textFill>
              </w:rPr>
            </w:pPr>
            <w:r>
              <w:rPr>
                <w:rFonts w:hint="eastAsia"/>
                <w:b/>
                <w:color w:val="000000" w:themeColor="text1"/>
                <w:kern w:val="0"/>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81" w:hRule="atLeast"/>
        </w:trPr>
        <w:tc>
          <w:tcPr>
            <w:tcW w:w="785" w:type="dxa"/>
            <w:vMerge w:val="restart"/>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81" w:lineRule="atLeast"/>
              <w:jc w:val="center"/>
              <w:rPr>
                <w:b/>
                <w:color w:val="000000" w:themeColor="text1"/>
                <w:kern w:val="0"/>
                <w14:textFill>
                  <w14:solidFill>
                    <w14:schemeClr w14:val="tx1"/>
                  </w14:solidFill>
                </w14:textFill>
              </w:rPr>
            </w:pPr>
          </w:p>
        </w:tc>
        <w:tc>
          <w:tcPr>
            <w:tcW w:w="65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81" w:lineRule="atLeast"/>
              <w:jc w:val="center"/>
              <w:rPr>
                <w:b/>
                <w:color w:val="000000" w:themeColor="text1"/>
                <w:kern w:val="0"/>
                <w14:textFill>
                  <w14:solidFill>
                    <w14:schemeClr w14:val="tx1"/>
                  </w14:solidFill>
                </w14:textFill>
              </w:rPr>
            </w:pPr>
            <w:r>
              <w:rPr>
                <w:rFonts w:hint="eastAsia"/>
                <w:b/>
                <w:color w:val="000000" w:themeColor="text1"/>
                <w:kern w:val="0"/>
                <w14:textFill>
                  <w14:solidFill>
                    <w14:schemeClr w14:val="tx1"/>
                  </w14:solidFill>
                </w14:textFill>
              </w:rPr>
              <w:t>序号</w:t>
            </w:r>
          </w:p>
        </w:tc>
        <w:tc>
          <w:tcPr>
            <w:tcW w:w="150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81" w:lineRule="atLeast"/>
              <w:jc w:val="center"/>
              <w:rPr>
                <w:b/>
                <w:color w:val="000000" w:themeColor="text1"/>
                <w:kern w:val="0"/>
                <w14:textFill>
                  <w14:solidFill>
                    <w14:schemeClr w14:val="tx1"/>
                  </w14:solidFill>
                </w14:textFill>
              </w:rPr>
            </w:pPr>
            <w:r>
              <w:rPr>
                <w:rFonts w:hint="eastAsia"/>
                <w:b/>
                <w:color w:val="000000" w:themeColor="text1"/>
                <w:kern w:val="0"/>
                <w14:textFill>
                  <w14:solidFill>
                    <w14:schemeClr w14:val="tx1"/>
                  </w14:solidFill>
                </w14:textFill>
              </w:rPr>
              <w:t>评分因素</w:t>
            </w:r>
          </w:p>
        </w:tc>
        <w:tc>
          <w:tcPr>
            <w:tcW w:w="414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81" w:lineRule="atLeast"/>
              <w:jc w:val="center"/>
              <w:rPr>
                <w:b/>
                <w:color w:val="000000" w:themeColor="text1"/>
                <w:kern w:val="0"/>
                <w14:textFill>
                  <w14:solidFill>
                    <w14:schemeClr w14:val="tx1"/>
                  </w14:solidFill>
                </w14:textFill>
              </w:rPr>
            </w:pPr>
            <w:r>
              <w:rPr>
                <w:rFonts w:hint="eastAsia"/>
                <w:b/>
                <w:color w:val="000000" w:themeColor="text1"/>
                <w:kern w:val="0"/>
                <w14:textFill>
                  <w14:solidFill>
                    <w14:schemeClr w14:val="tx1"/>
                  </w14:solidFill>
                </w14:textFill>
              </w:rPr>
              <w:t>评分规则</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81" w:lineRule="atLeast"/>
              <w:jc w:val="center"/>
              <w:rPr>
                <w:b/>
                <w:color w:val="000000" w:themeColor="text1"/>
                <w:kern w:val="0"/>
                <w14:textFill>
                  <w14:solidFill>
                    <w14:schemeClr w14:val="tx1"/>
                  </w14:solidFill>
                </w14:textFill>
              </w:rPr>
            </w:pPr>
            <w:r>
              <w:rPr>
                <w:rFonts w:hint="eastAsia"/>
                <w:b/>
                <w:color w:val="000000" w:themeColor="text1"/>
                <w:kern w:val="0"/>
                <w14:textFill>
                  <w14:solidFill>
                    <w14:schemeClr w14:val="tx1"/>
                  </w14:solidFill>
                </w14:textFill>
              </w:rPr>
              <w:t>权重</w:t>
            </w:r>
          </w:p>
        </w:tc>
        <w:tc>
          <w:tcPr>
            <w:tcW w:w="109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81" w:lineRule="atLeast"/>
              <w:jc w:val="center"/>
              <w:rPr>
                <w:b/>
                <w:color w:val="000000" w:themeColor="text1"/>
                <w:kern w:val="0"/>
                <w14:textFill>
                  <w14:solidFill>
                    <w14:schemeClr w14:val="tx1"/>
                  </w14:solidFill>
                </w14:textFill>
              </w:rPr>
            </w:pPr>
            <w:r>
              <w:rPr>
                <w:rFonts w:hint="eastAsia"/>
                <w:b/>
                <w:color w:val="000000" w:themeColor="text1"/>
                <w:kern w:val="0"/>
                <w14:textFill>
                  <w14:solidFill>
                    <w14:schemeClr w14:val="tx1"/>
                  </w14:solidFill>
                </w14:textFill>
              </w:rPr>
              <w:t>评分方式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2030" w:hRule="atLeast"/>
        </w:trPr>
        <w:tc>
          <w:tcPr>
            <w:tcW w:w="78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color w:val="000000" w:themeColor="text1"/>
                <w:kern w:val="0"/>
                <w14:textFill>
                  <w14:solidFill>
                    <w14:schemeClr w14:val="tx1"/>
                  </w14:solidFill>
                </w14:textFill>
              </w:rPr>
            </w:pPr>
          </w:p>
        </w:tc>
        <w:tc>
          <w:tcPr>
            <w:tcW w:w="65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78" w:lineRule="atLeast"/>
              <w:jc w:val="cente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1</w:t>
            </w:r>
          </w:p>
        </w:tc>
        <w:tc>
          <w:tcPr>
            <w:tcW w:w="150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投标人同类项目执行能力情况</w:t>
            </w:r>
          </w:p>
        </w:tc>
        <w:tc>
          <w:tcPr>
            <w:tcW w:w="4148" w:type="dxa"/>
            <w:tcBorders>
              <w:top w:val="single" w:color="auto" w:sz="4" w:space="0"/>
              <w:left w:val="single" w:color="auto" w:sz="4" w:space="0"/>
              <w:bottom w:val="single" w:color="auto" w:sz="4" w:space="0"/>
              <w:right w:val="single" w:color="auto" w:sz="4" w:space="0"/>
              <w:tl2br w:val="nil"/>
              <w:tr2bl w:val="nil"/>
            </w:tcBorders>
            <w:vAlign w:val="center"/>
          </w:tcPr>
          <w:p>
            <w:pPr>
              <w:pStyle w:val="16"/>
              <w:pBdr>
                <w:bottom w:val="none" w:color="auto" w:sz="0" w:space="0"/>
              </w:pBdr>
              <w:tabs>
                <w:tab w:val="clear" w:pos="4153"/>
                <w:tab w:val="clear" w:pos="8306"/>
              </w:tabs>
              <w:jc w:val="both"/>
              <w:rPr>
                <w:rFonts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承担过高等院校、文化馆、文化传播机构等网站建设的，每个得1分，累计得分，最高得10分。</w:t>
            </w:r>
          </w:p>
          <w:p>
            <w:pPr>
              <w:pStyle w:val="16"/>
              <w:pBdr>
                <w:bottom w:val="none" w:color="auto" w:sz="0" w:space="0"/>
              </w:pBdr>
              <w:tabs>
                <w:tab w:val="clear" w:pos="4153"/>
                <w:tab w:val="clear" w:pos="8306"/>
              </w:tabs>
              <w:jc w:val="both"/>
              <w:rPr>
                <w:rFonts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承担过高等院校、文化馆、文化传播机构等可视化平台建设的，每个得1分，累计得分，最高得5分，要求提供项目案例截图、投标单位自主知识产权证明，不提供不得分。</w:t>
            </w:r>
          </w:p>
          <w:p>
            <w:pPr>
              <w:pStyle w:val="16"/>
              <w:pBdr>
                <w:bottom w:val="none" w:color="auto" w:sz="0" w:space="0"/>
              </w:pBdr>
              <w:tabs>
                <w:tab w:val="clear" w:pos="4153"/>
                <w:tab w:val="clear" w:pos="8306"/>
              </w:tabs>
              <w:jc w:val="both"/>
              <w:rPr>
                <w:rFonts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要求提供合同关键页复印件（原件备查）</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78" w:lineRule="atLeast"/>
              <w:jc w:val="cente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15</w:t>
            </w:r>
          </w:p>
        </w:tc>
        <w:tc>
          <w:tcPr>
            <w:tcW w:w="109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78" w:lineRule="atLeast"/>
              <w:jc w:val="cente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78" w:hRule="atLeast"/>
        </w:trPr>
        <w:tc>
          <w:tcPr>
            <w:tcW w:w="78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color w:val="000000" w:themeColor="text1"/>
                <w:kern w:val="0"/>
                <w14:textFill>
                  <w14:solidFill>
                    <w14:schemeClr w14:val="tx1"/>
                  </w14:solidFill>
                </w14:textFill>
              </w:rPr>
            </w:pPr>
          </w:p>
        </w:tc>
        <w:tc>
          <w:tcPr>
            <w:tcW w:w="65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78" w:lineRule="atLeast"/>
              <w:jc w:val="cente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2</w:t>
            </w:r>
          </w:p>
        </w:tc>
        <w:tc>
          <w:tcPr>
            <w:tcW w:w="150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服务人员</w:t>
            </w:r>
          </w:p>
        </w:tc>
        <w:tc>
          <w:tcPr>
            <w:tcW w:w="4148" w:type="dxa"/>
            <w:tcBorders>
              <w:top w:val="single" w:color="auto" w:sz="4" w:space="0"/>
              <w:left w:val="single" w:color="auto" w:sz="4" w:space="0"/>
              <w:bottom w:val="single" w:color="auto" w:sz="4" w:space="0"/>
              <w:right w:val="single" w:color="auto" w:sz="4" w:space="0"/>
              <w:tl2br w:val="nil"/>
              <w:tr2bl w:val="nil"/>
            </w:tcBorders>
            <w:vAlign w:val="center"/>
          </w:tcPr>
          <w:p>
            <w:pPr>
              <w:pStyle w:val="16"/>
              <w:pBdr>
                <w:bottom w:val="none" w:color="auto" w:sz="0" w:space="0"/>
              </w:pBdr>
              <w:tabs>
                <w:tab w:val="clear" w:pos="4153"/>
                <w:tab w:val="clear" w:pos="8306"/>
              </w:tabs>
              <w:jc w:val="both"/>
              <w:rPr>
                <w:rFonts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 xml:space="preserve">项目实施与服务人员应不少于 </w:t>
            </w:r>
            <w:r>
              <w:rPr>
                <w:rFonts w:hAnsi="宋体"/>
                <w:color w:val="000000" w:themeColor="text1"/>
                <w:sz w:val="21"/>
                <w14:textFill>
                  <w14:solidFill>
                    <w14:schemeClr w14:val="tx1"/>
                  </w14:solidFill>
                </w14:textFill>
              </w:rPr>
              <w:t>3</w:t>
            </w:r>
            <w:r>
              <w:rPr>
                <w:rFonts w:hint="eastAsia" w:hAnsi="宋体"/>
                <w:color w:val="000000" w:themeColor="text1"/>
                <w:sz w:val="21"/>
                <w14:textFill>
                  <w14:solidFill>
                    <w14:schemeClr w14:val="tx1"/>
                  </w14:solidFill>
                </w14:textFill>
              </w:rPr>
              <w:t xml:space="preserve">人，且实施与服务人员中需要有具备省部级安全获奖证书或授聘专家证书或 </w:t>
            </w:r>
            <w:r>
              <w:rPr>
                <w:rFonts w:hAnsi="宋体"/>
                <w:color w:val="000000" w:themeColor="text1"/>
                <w:sz w:val="21"/>
                <w14:textFill>
                  <w14:solidFill>
                    <w14:schemeClr w14:val="tx1"/>
                  </w14:solidFill>
                </w14:textFill>
              </w:rPr>
              <w:t xml:space="preserve">ITIL </w:t>
            </w:r>
            <w:r>
              <w:rPr>
                <w:rFonts w:hint="eastAsia" w:hAnsi="宋体"/>
                <w:color w:val="000000" w:themeColor="text1"/>
                <w:sz w:val="21"/>
                <w14:textFill>
                  <w14:solidFill>
                    <w14:schemeClr w14:val="tx1"/>
                  </w14:solidFill>
                </w14:textFill>
              </w:rPr>
              <w:t xml:space="preserve">证书或 </w:t>
            </w:r>
            <w:r>
              <w:rPr>
                <w:rFonts w:hAnsi="宋体"/>
                <w:color w:val="000000" w:themeColor="text1"/>
                <w:sz w:val="21"/>
                <w14:textFill>
                  <w14:solidFill>
                    <w14:schemeClr w14:val="tx1"/>
                  </w14:solidFill>
                </w14:textFill>
              </w:rPr>
              <w:t xml:space="preserve">CCIE </w:t>
            </w:r>
            <w:r>
              <w:rPr>
                <w:rFonts w:hint="eastAsia" w:hAnsi="宋体"/>
                <w:color w:val="000000" w:themeColor="text1"/>
                <w:sz w:val="21"/>
                <w14:textFill>
                  <w14:solidFill>
                    <w14:schemeClr w14:val="tx1"/>
                  </w14:solidFill>
                </w14:textFill>
              </w:rPr>
              <w:t>证书的人员。</w:t>
            </w:r>
          </w:p>
          <w:p>
            <w:pPr>
              <w:pStyle w:val="16"/>
              <w:pBdr>
                <w:bottom w:val="none" w:color="auto" w:sz="0" w:space="0"/>
              </w:pBdr>
              <w:tabs>
                <w:tab w:val="clear" w:pos="4153"/>
                <w:tab w:val="clear" w:pos="8306"/>
              </w:tabs>
              <w:jc w:val="both"/>
              <w:rPr>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 xml:space="preserve">（需提供相关实施人员的证书复印件及近 </w:t>
            </w:r>
            <w:r>
              <w:rPr>
                <w:rFonts w:hAnsi="宋体"/>
                <w:color w:val="000000" w:themeColor="text1"/>
                <w:sz w:val="21"/>
                <w14:textFill>
                  <w14:solidFill>
                    <w14:schemeClr w14:val="tx1"/>
                  </w14:solidFill>
                </w14:textFill>
              </w:rPr>
              <w:t xml:space="preserve">1 </w:t>
            </w:r>
            <w:r>
              <w:rPr>
                <w:rFonts w:hint="eastAsia" w:hAnsi="宋体"/>
                <w:color w:val="000000" w:themeColor="text1"/>
                <w:sz w:val="21"/>
                <w14:textFill>
                  <w14:solidFill>
                    <w14:schemeClr w14:val="tx1"/>
                  </w14:solidFill>
                </w14:textFill>
              </w:rPr>
              <w:t xml:space="preserve">年企业社保证明，少于 </w:t>
            </w:r>
            <w:r>
              <w:rPr>
                <w:rFonts w:hAnsi="宋体"/>
                <w:color w:val="000000" w:themeColor="text1"/>
                <w:sz w:val="21"/>
                <w14:textFill>
                  <w14:solidFill>
                    <w14:schemeClr w14:val="tx1"/>
                  </w14:solidFill>
                </w14:textFill>
              </w:rPr>
              <w:t>3</w:t>
            </w:r>
            <w:r>
              <w:rPr>
                <w:rFonts w:hint="eastAsia" w:hAnsi="宋体"/>
                <w:color w:val="000000" w:themeColor="text1"/>
                <w:sz w:val="21"/>
                <w14:textFill>
                  <w14:solidFill>
                    <w14:schemeClr w14:val="tx1"/>
                  </w14:solidFill>
                </w14:textFill>
              </w:rPr>
              <w:t xml:space="preserve">人不得分，超过 </w:t>
            </w:r>
            <w:r>
              <w:rPr>
                <w:rFonts w:hAnsi="宋体"/>
                <w:color w:val="000000" w:themeColor="text1"/>
                <w:sz w:val="21"/>
                <w14:textFill>
                  <w14:solidFill>
                    <w14:schemeClr w14:val="tx1"/>
                  </w14:solidFill>
                </w14:textFill>
              </w:rPr>
              <w:t xml:space="preserve">3 </w:t>
            </w:r>
            <w:r>
              <w:rPr>
                <w:rFonts w:hint="eastAsia" w:hAnsi="宋体"/>
                <w:color w:val="000000" w:themeColor="text1"/>
                <w:sz w:val="21"/>
                <w14:textFill>
                  <w14:solidFill>
                    <w14:schemeClr w14:val="tx1"/>
                  </w14:solidFill>
                </w14:textFill>
              </w:rPr>
              <w:t xml:space="preserve">人每提供 </w:t>
            </w:r>
            <w:r>
              <w:rPr>
                <w:rFonts w:hAnsi="宋体"/>
                <w:color w:val="000000" w:themeColor="text1"/>
                <w:sz w:val="21"/>
                <w14:textFill>
                  <w14:solidFill>
                    <w14:schemeClr w14:val="tx1"/>
                  </w14:solidFill>
                </w14:textFill>
              </w:rPr>
              <w:t xml:space="preserve">1 </w:t>
            </w:r>
            <w:r>
              <w:rPr>
                <w:rFonts w:hint="eastAsia" w:hAnsi="宋体"/>
                <w:color w:val="000000" w:themeColor="text1"/>
                <w:sz w:val="21"/>
                <w14:textFill>
                  <w14:solidFill>
                    <w14:schemeClr w14:val="tx1"/>
                  </w14:solidFill>
                </w14:textFill>
              </w:rPr>
              <w:t xml:space="preserve">个具有上述证书及投标单位社保证明人员的得 </w:t>
            </w:r>
            <w:r>
              <w:rPr>
                <w:rFonts w:hAnsi="宋体"/>
                <w:color w:val="000000" w:themeColor="text1"/>
                <w:sz w:val="21"/>
                <w14:textFill>
                  <w14:solidFill>
                    <w14:schemeClr w14:val="tx1"/>
                  </w14:solidFill>
                </w14:textFill>
              </w:rPr>
              <w:t xml:space="preserve">1 </w:t>
            </w:r>
            <w:r>
              <w:rPr>
                <w:rFonts w:hint="eastAsia" w:hAnsi="宋体"/>
                <w:color w:val="000000" w:themeColor="text1"/>
                <w:sz w:val="21"/>
                <w14:textFill>
                  <w14:solidFill>
                    <w14:schemeClr w14:val="tx1"/>
                  </w14:solidFill>
                </w14:textFill>
              </w:rPr>
              <w:t xml:space="preserve">分，最高 </w:t>
            </w:r>
            <w:r>
              <w:rPr>
                <w:rFonts w:hAnsi="宋体"/>
                <w:color w:val="000000" w:themeColor="text1"/>
                <w:sz w:val="21"/>
                <w14:textFill>
                  <w14:solidFill>
                    <w14:schemeClr w14:val="tx1"/>
                  </w14:solidFill>
                </w14:textFill>
              </w:rPr>
              <w:t xml:space="preserve">3 </w:t>
            </w:r>
            <w:r>
              <w:rPr>
                <w:rFonts w:hint="eastAsia" w:hAnsi="宋体"/>
                <w:color w:val="000000" w:themeColor="text1"/>
                <w:sz w:val="21"/>
                <w14:textFill>
                  <w14:solidFill>
                    <w14:schemeClr w14:val="tx1"/>
                  </w14:solidFill>
                </w14:textFill>
              </w:rPr>
              <w:t>分）</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78" w:lineRule="atLeast"/>
              <w:jc w:val="cente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3</w:t>
            </w:r>
          </w:p>
        </w:tc>
        <w:tc>
          <w:tcPr>
            <w:tcW w:w="109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78" w:lineRule="atLeast"/>
              <w:jc w:val="cente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714" w:hRule="atLeast"/>
        </w:trPr>
        <w:tc>
          <w:tcPr>
            <w:tcW w:w="78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color w:val="000000" w:themeColor="text1"/>
                <w:kern w:val="0"/>
                <w14:textFill>
                  <w14:solidFill>
                    <w14:schemeClr w14:val="tx1"/>
                  </w14:solidFill>
                </w14:textFill>
              </w:rPr>
            </w:pPr>
          </w:p>
        </w:tc>
        <w:tc>
          <w:tcPr>
            <w:tcW w:w="65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78" w:lineRule="atLeast"/>
              <w:jc w:val="cente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3</w:t>
            </w:r>
          </w:p>
        </w:tc>
        <w:tc>
          <w:tcPr>
            <w:tcW w:w="150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售后服务</w:t>
            </w:r>
          </w:p>
        </w:tc>
        <w:tc>
          <w:tcPr>
            <w:tcW w:w="4148" w:type="dxa"/>
            <w:tcBorders>
              <w:top w:val="single" w:color="auto" w:sz="4" w:space="0"/>
              <w:left w:val="single" w:color="auto" w:sz="4" w:space="0"/>
              <w:bottom w:val="single" w:color="auto" w:sz="4" w:space="0"/>
              <w:right w:val="single" w:color="auto" w:sz="4" w:space="0"/>
              <w:tl2br w:val="nil"/>
              <w:tr2bl w:val="nil"/>
            </w:tcBorders>
            <w:vAlign w:val="center"/>
          </w:tcPr>
          <w:p>
            <w:pPr>
              <w:pStyle w:val="16"/>
              <w:pBdr>
                <w:bottom w:val="none" w:color="auto" w:sz="0" w:space="0"/>
              </w:pBdr>
              <w:tabs>
                <w:tab w:val="clear" w:pos="4153"/>
                <w:tab w:val="clear" w:pos="8306"/>
              </w:tabs>
              <w:jc w:val="both"/>
              <w:rPr>
                <w:rFonts w:hAnsi="宋体"/>
                <w:color w:val="000000" w:themeColor="text1"/>
                <w:sz w:val="21"/>
                <w14:textFill>
                  <w14:solidFill>
                    <w14:schemeClr w14:val="tx1"/>
                  </w14:solidFill>
                </w14:textFill>
              </w:rPr>
            </w:pPr>
            <w:r>
              <w:rPr>
                <w:rFonts w:hAnsi="宋体"/>
                <w:color w:val="000000" w:themeColor="text1"/>
                <w:sz w:val="21"/>
                <w14:textFill>
                  <w14:solidFill>
                    <w14:schemeClr w14:val="tx1"/>
                  </w14:solidFill>
                </w14:textFill>
              </w:rPr>
              <w:t>1</w:t>
            </w:r>
            <w:r>
              <w:rPr>
                <w:rFonts w:hint="eastAsia" w:hAnsi="宋体"/>
                <w:color w:val="000000" w:themeColor="text1"/>
                <w:sz w:val="21"/>
                <w14:textFill>
                  <w14:solidFill>
                    <w14:schemeClr w14:val="tx1"/>
                  </w14:solidFill>
                </w14:textFill>
              </w:rPr>
              <w:t>）售后服务方案：对投标单位根据招标采购需求编制的售后服务方案进行综合评定，专家根据方案内容酌情打分（</w:t>
            </w:r>
            <w:r>
              <w:rPr>
                <w:rFonts w:hAnsi="宋体"/>
                <w:color w:val="000000" w:themeColor="text1"/>
                <w:sz w:val="21"/>
                <w14:textFill>
                  <w14:solidFill>
                    <w14:schemeClr w14:val="tx1"/>
                  </w14:solidFill>
                </w14:textFill>
              </w:rPr>
              <w:t xml:space="preserve">0~4 </w:t>
            </w:r>
            <w:r>
              <w:rPr>
                <w:rFonts w:hint="eastAsia" w:hAnsi="宋体"/>
                <w:color w:val="000000" w:themeColor="text1"/>
                <w:sz w:val="21"/>
                <w14:textFill>
                  <w14:solidFill>
                    <w14:schemeClr w14:val="tx1"/>
                  </w14:solidFill>
                </w14:textFill>
              </w:rPr>
              <w:t xml:space="preserve">分） </w:t>
            </w:r>
          </w:p>
          <w:p>
            <w:pPr>
              <w:pStyle w:val="16"/>
              <w:pBdr>
                <w:bottom w:val="none" w:color="auto" w:sz="0" w:space="0"/>
              </w:pBdr>
              <w:tabs>
                <w:tab w:val="clear" w:pos="4153"/>
                <w:tab w:val="clear" w:pos="8306"/>
              </w:tabs>
              <w:jc w:val="both"/>
              <w:rPr>
                <w:color w:val="000000" w:themeColor="text1"/>
                <w14:textFill>
                  <w14:solidFill>
                    <w14:schemeClr w14:val="tx1"/>
                  </w14:solidFill>
                </w14:textFill>
              </w:rPr>
            </w:pPr>
            <w:r>
              <w:rPr>
                <w:rFonts w:hAnsi="宋体"/>
                <w:color w:val="000000" w:themeColor="text1"/>
                <w:sz w:val="21"/>
                <w14:textFill>
                  <w14:solidFill>
                    <w14:schemeClr w14:val="tx1"/>
                  </w14:solidFill>
                </w14:textFill>
              </w:rPr>
              <w:t>2</w:t>
            </w:r>
            <w:r>
              <w:rPr>
                <w:rFonts w:hint="eastAsia" w:hAnsi="宋体"/>
                <w:color w:val="000000" w:themeColor="text1"/>
                <w:sz w:val="21"/>
                <w14:textFill>
                  <w14:solidFill>
                    <w14:schemeClr w14:val="tx1"/>
                  </w14:solidFill>
                </w14:textFill>
              </w:rPr>
              <w:t xml:space="preserve">）投标单位在深圳市或广东省内建立有售后服务机构或公司，并提供办公场所 证明（投标单位注册登记资料、房产交易中心或园区租赁合同或房产 证明）。（全部提供以上 </w:t>
            </w:r>
            <w:r>
              <w:rPr>
                <w:rFonts w:hAnsi="宋体"/>
                <w:color w:val="000000" w:themeColor="text1"/>
                <w:sz w:val="21"/>
                <w14:textFill>
                  <w14:solidFill>
                    <w14:schemeClr w14:val="tx1"/>
                  </w14:solidFill>
                </w14:textFill>
              </w:rPr>
              <w:t xml:space="preserve">2 </w:t>
            </w:r>
            <w:r>
              <w:rPr>
                <w:rFonts w:hint="eastAsia" w:hAnsi="宋体"/>
                <w:color w:val="000000" w:themeColor="text1"/>
                <w:sz w:val="21"/>
                <w14:textFill>
                  <w14:solidFill>
                    <w14:schemeClr w14:val="tx1"/>
                  </w14:solidFill>
                </w14:textFill>
              </w:rPr>
              <w:t xml:space="preserve">项内容的得 </w:t>
            </w:r>
            <w:r>
              <w:rPr>
                <w:rFonts w:hAnsi="宋体"/>
                <w:color w:val="000000" w:themeColor="text1"/>
                <w:sz w:val="21"/>
                <w14:textFill>
                  <w14:solidFill>
                    <w14:schemeClr w14:val="tx1"/>
                  </w14:solidFill>
                </w14:textFill>
              </w:rPr>
              <w:t xml:space="preserve">1 </w:t>
            </w:r>
            <w:r>
              <w:rPr>
                <w:rFonts w:hint="eastAsia" w:hAnsi="宋体"/>
                <w:color w:val="000000" w:themeColor="text1"/>
                <w:sz w:val="21"/>
                <w14:textFill>
                  <w14:solidFill>
                    <w14:schemeClr w14:val="tx1"/>
                  </w14:solidFill>
                </w14:textFill>
              </w:rPr>
              <w:t>分，缺漏项不得分）</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78" w:lineRule="atLeast"/>
              <w:jc w:val="cente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5</w:t>
            </w:r>
          </w:p>
        </w:tc>
        <w:tc>
          <w:tcPr>
            <w:tcW w:w="109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78" w:lineRule="atLeast"/>
              <w:jc w:val="cente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1415" w:hRule="atLeast"/>
        </w:trPr>
        <w:tc>
          <w:tcPr>
            <w:tcW w:w="78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color w:val="000000" w:themeColor="text1"/>
                <w:kern w:val="0"/>
                <w14:textFill>
                  <w14:solidFill>
                    <w14:schemeClr w14:val="tx1"/>
                  </w14:solidFill>
                </w14:textFill>
              </w:rPr>
            </w:pPr>
          </w:p>
        </w:tc>
        <w:tc>
          <w:tcPr>
            <w:tcW w:w="65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78" w:lineRule="atLeast"/>
              <w:jc w:val="cente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4</w:t>
            </w:r>
          </w:p>
        </w:tc>
        <w:tc>
          <w:tcPr>
            <w:tcW w:w="150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培训</w:t>
            </w:r>
          </w:p>
        </w:tc>
        <w:tc>
          <w:tcPr>
            <w:tcW w:w="4148" w:type="dxa"/>
            <w:tcBorders>
              <w:top w:val="single" w:color="auto" w:sz="4" w:space="0"/>
              <w:left w:val="single" w:color="auto" w:sz="4" w:space="0"/>
              <w:bottom w:val="single" w:color="auto" w:sz="4" w:space="0"/>
              <w:right w:val="single" w:color="auto" w:sz="4" w:space="0"/>
              <w:tl2br w:val="nil"/>
              <w:tr2bl w:val="nil"/>
            </w:tcBorders>
            <w:vAlign w:val="center"/>
          </w:tcPr>
          <w:p>
            <w:pPr>
              <w:pStyle w:val="16"/>
              <w:pBdr>
                <w:bottom w:val="none" w:color="auto" w:sz="0" w:space="0"/>
              </w:pBdr>
              <w:tabs>
                <w:tab w:val="clear" w:pos="4153"/>
                <w:tab w:val="clear" w:pos="8306"/>
              </w:tabs>
              <w:jc w:val="both"/>
              <w:rPr>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 xml:space="preserve">培训措施：针对本项目培训要求能提供相关培训视频（光盘）、电子文件（文档目录）、纸质说明书、在线课程平台软件及课件截图（提 供链接）。（全部提供以上 </w:t>
            </w:r>
            <w:r>
              <w:rPr>
                <w:rFonts w:hAnsi="宋体"/>
                <w:color w:val="000000" w:themeColor="text1"/>
                <w:sz w:val="21"/>
                <w14:textFill>
                  <w14:solidFill>
                    <w14:schemeClr w14:val="tx1"/>
                  </w14:solidFill>
                </w14:textFill>
              </w:rPr>
              <w:t xml:space="preserve">4 </w:t>
            </w:r>
            <w:r>
              <w:rPr>
                <w:rFonts w:hint="eastAsia" w:hAnsi="宋体"/>
                <w:color w:val="000000" w:themeColor="text1"/>
                <w:sz w:val="21"/>
                <w14:textFill>
                  <w14:solidFill>
                    <w14:schemeClr w14:val="tx1"/>
                  </w14:solidFill>
                </w14:textFill>
              </w:rPr>
              <w:t xml:space="preserve">项内容的得 </w:t>
            </w:r>
            <w:r>
              <w:rPr>
                <w:rFonts w:hAnsi="宋体"/>
                <w:color w:val="000000" w:themeColor="text1"/>
                <w:sz w:val="21"/>
                <w14:textFill>
                  <w14:solidFill>
                    <w14:schemeClr w14:val="tx1"/>
                  </w14:solidFill>
                </w14:textFill>
              </w:rPr>
              <w:t xml:space="preserve">2 </w:t>
            </w:r>
            <w:r>
              <w:rPr>
                <w:rFonts w:hint="eastAsia" w:hAnsi="宋体"/>
                <w:color w:val="000000" w:themeColor="text1"/>
                <w:sz w:val="21"/>
                <w14:textFill>
                  <w14:solidFill>
                    <w14:schemeClr w14:val="tx1"/>
                  </w14:solidFill>
                </w14:textFill>
              </w:rPr>
              <w:t>分，缺漏项不得分）</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78" w:lineRule="atLeast"/>
              <w:jc w:val="cente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2</w:t>
            </w:r>
          </w:p>
        </w:tc>
        <w:tc>
          <w:tcPr>
            <w:tcW w:w="109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78" w:lineRule="atLeast"/>
              <w:jc w:val="cente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专家打分</w:t>
            </w:r>
          </w:p>
        </w:tc>
      </w:tr>
    </w:tbl>
    <w:p>
      <w:pPr>
        <w:ind w:firstLine="420" w:firstLineChars="200"/>
        <w:rPr>
          <w:color w:val="000000" w:themeColor="text1"/>
          <w14:textFill>
            <w14:solidFill>
              <w14:schemeClr w14:val="tx1"/>
            </w14:solidFill>
          </w14:textFill>
        </w:rPr>
      </w:pPr>
    </w:p>
    <w:p>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注：1. 有取值范围的，含下限值，不含上限值。每一项的得分均不能超过该项最高分值。</w:t>
      </w:r>
    </w:p>
    <w:p>
      <w:pPr>
        <w:ind w:firstLine="821" w:firstLineChars="391"/>
        <w:rPr>
          <w:color w:val="000000" w:themeColor="text1"/>
          <w14:textFill>
            <w14:solidFill>
              <w14:schemeClr w14:val="tx1"/>
            </w14:solidFill>
          </w14:textFill>
        </w:rPr>
      </w:pPr>
      <w:r>
        <w:rPr>
          <w:color w:val="000000" w:themeColor="text1"/>
          <w14:textFill>
            <w14:solidFill>
              <w14:schemeClr w14:val="tx1"/>
            </w14:solidFill>
          </w14:textFill>
        </w:rPr>
        <w:t>2. 缺项则该项为0分或不合格为0分。</w:t>
      </w:r>
    </w:p>
    <w:p>
      <w:pPr>
        <w:ind w:firstLine="821" w:firstLineChars="391"/>
        <w:rPr>
          <w:color w:val="000000" w:themeColor="text1"/>
          <w14:textFill>
            <w14:solidFill>
              <w14:schemeClr w14:val="tx1"/>
            </w14:solidFill>
          </w14:textFill>
        </w:rPr>
      </w:pPr>
      <w:r>
        <w:rPr>
          <w:color w:val="000000" w:themeColor="text1"/>
          <w14:textFill>
            <w14:solidFill>
              <w14:schemeClr w14:val="tx1"/>
            </w14:solidFill>
          </w14:textFill>
        </w:rPr>
        <w:t>3. 价格、技术、商务部分为针对项目具体情况设置项目，累加满分为100分。</w:t>
      </w:r>
    </w:p>
    <w:p>
      <w:pPr>
        <w:ind w:right="210" w:firstLine="821" w:firstLineChars="391"/>
        <w:jc w:val="right"/>
        <w:rPr>
          <w:snapToGrid w:val="0"/>
          <w:color w:val="000000" w:themeColor="text1"/>
          <w:kern w:val="0"/>
          <w:szCs w:val="18"/>
          <w14:textFill>
            <w14:solidFill>
              <w14:schemeClr w14:val="tx1"/>
            </w14:solidFill>
          </w14:textFill>
        </w:rPr>
      </w:pPr>
      <w:r>
        <w:rPr>
          <w:color w:val="000000" w:themeColor="text1"/>
          <w14:textFill>
            <w14:solidFill>
              <w14:schemeClr w14:val="tx1"/>
            </w14:solidFill>
          </w14:textFill>
        </w:rPr>
        <w:t>4. 综合以上</w:t>
      </w:r>
      <w:r>
        <w:rPr>
          <w:snapToGrid w:val="0"/>
          <w:color w:val="000000" w:themeColor="text1"/>
          <w:kern w:val="0"/>
          <w14:textFill>
            <w14:solidFill>
              <w14:schemeClr w14:val="tx1"/>
            </w14:solidFill>
          </w14:textFill>
        </w:rPr>
        <w:t>分析比较，评委会将对各投标文件进行书面的量化评定，得分</w:t>
      </w:r>
      <w:r>
        <w:rPr>
          <w:snapToGrid w:val="0"/>
          <w:color w:val="000000" w:themeColor="text1"/>
          <w:kern w:val="0"/>
          <w:szCs w:val="18"/>
          <w14:textFill>
            <w14:solidFill>
              <w14:schemeClr w14:val="tx1"/>
            </w14:solidFill>
          </w14:textFill>
        </w:rPr>
        <w:t>精确到小数点后两位。</w:t>
      </w:r>
    </w:p>
    <w:p>
      <w:pPr>
        <w:ind w:right="210" w:firstLine="821" w:firstLineChars="391"/>
        <w:jc w:val="right"/>
        <w:rPr>
          <w:snapToGrid w:val="0"/>
          <w:color w:val="000000" w:themeColor="text1"/>
          <w:kern w:val="0"/>
          <w:szCs w:val="18"/>
          <w14:textFill>
            <w14:solidFill>
              <w14:schemeClr w14:val="tx1"/>
            </w14:solidFill>
          </w14:textFill>
        </w:rPr>
      </w:pPr>
      <w:r>
        <w:rPr>
          <w:snapToGrid w:val="0"/>
          <w:color w:val="000000" w:themeColor="text1"/>
          <w:kern w:val="0"/>
          <w:szCs w:val="18"/>
          <w14:textFill>
            <w14:solidFill>
              <w14:schemeClr w14:val="tx1"/>
            </w14:solidFill>
          </w14:textFill>
        </w:rPr>
        <w:br w:type="page"/>
      </w:r>
    </w:p>
    <w:p>
      <w:pPr>
        <w:ind w:right="210" w:firstLine="821" w:firstLineChars="391"/>
        <w:jc w:val="right"/>
        <w:rPr>
          <w:snapToGrid w:val="0"/>
          <w:color w:val="000000" w:themeColor="text1"/>
          <w:kern w:val="0"/>
          <w:szCs w:val="18"/>
          <w14:textFill>
            <w14:solidFill>
              <w14:schemeClr w14:val="tx1"/>
            </w14:solidFill>
          </w14:textFill>
        </w:rPr>
      </w:pPr>
    </w:p>
    <w:p>
      <w:pPr>
        <w:spacing w:line="360" w:lineRule="auto"/>
        <w:jc w:val="center"/>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目录</w:t>
      </w:r>
    </w:p>
    <w:p>
      <w:pPr>
        <w:spacing w:line="360" w:lineRule="auto"/>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第一部分</w:t>
      </w:r>
      <w:r>
        <w:rPr>
          <w:rFonts w:hint="eastAsia" w:eastAsia="黑体"/>
          <w:color w:val="000000" w:themeColor="text1"/>
          <w:sz w:val="24"/>
          <w14:textFill>
            <w14:solidFill>
              <w14:schemeClr w14:val="tx1"/>
            </w14:solidFill>
          </w14:textFill>
        </w:rPr>
        <w:t xml:space="preserve"> </w:t>
      </w:r>
      <w:r>
        <w:rPr>
          <w:rFonts w:eastAsia="黑体"/>
          <w:color w:val="000000" w:themeColor="text1"/>
          <w:sz w:val="24"/>
          <w14:textFill>
            <w14:solidFill>
              <w14:schemeClr w14:val="tx1"/>
            </w14:solidFill>
          </w14:textFill>
        </w:rPr>
        <w:t>投标人须知</w:t>
      </w:r>
    </w:p>
    <w:p>
      <w:pPr>
        <w:numPr>
          <w:ilvl w:val="1"/>
          <w:numId w:val="0"/>
        </w:numPr>
        <w:tabs>
          <w:tab w:val="left" w:pos="360"/>
        </w:tabs>
        <w:spacing w:line="360" w:lineRule="auto"/>
        <w:ind w:firstLine="540" w:firstLineChars="225"/>
        <w:rPr>
          <w:color w:val="000000" w:themeColor="text1"/>
          <w:sz w:val="24"/>
          <w14:textFill>
            <w14:solidFill>
              <w14:schemeClr w14:val="tx1"/>
            </w14:solidFill>
          </w14:textFill>
        </w:rPr>
      </w:pPr>
      <w:r>
        <w:rPr>
          <w:color w:val="000000" w:themeColor="text1"/>
          <w:sz w:val="24"/>
          <w14:textFill>
            <w14:solidFill>
              <w14:schemeClr w14:val="tx1"/>
            </w14:solidFill>
          </w14:textFill>
        </w:rPr>
        <w:t>第一章</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总则</w:t>
      </w:r>
    </w:p>
    <w:p>
      <w:pPr>
        <w:numPr>
          <w:ilvl w:val="1"/>
          <w:numId w:val="0"/>
        </w:numPr>
        <w:tabs>
          <w:tab w:val="left" w:pos="360"/>
        </w:tabs>
        <w:spacing w:line="360" w:lineRule="auto"/>
        <w:ind w:firstLine="540" w:firstLineChars="225"/>
        <w:rPr>
          <w:color w:val="000000" w:themeColor="text1"/>
          <w:sz w:val="24"/>
          <w14:textFill>
            <w14:solidFill>
              <w14:schemeClr w14:val="tx1"/>
            </w14:solidFill>
          </w14:textFill>
        </w:rPr>
      </w:pPr>
      <w:r>
        <w:rPr>
          <w:color w:val="000000" w:themeColor="text1"/>
          <w:sz w:val="24"/>
          <w14:textFill>
            <w14:solidFill>
              <w14:schemeClr w14:val="tx1"/>
            </w14:solidFill>
          </w14:textFill>
        </w:rPr>
        <w:t>第二章</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招标文件</w:t>
      </w:r>
    </w:p>
    <w:p>
      <w:pPr>
        <w:numPr>
          <w:ilvl w:val="1"/>
          <w:numId w:val="0"/>
        </w:numPr>
        <w:tabs>
          <w:tab w:val="left" w:pos="360"/>
        </w:tabs>
        <w:spacing w:line="360" w:lineRule="auto"/>
        <w:ind w:firstLine="540" w:firstLineChars="225"/>
        <w:rPr>
          <w:color w:val="000000" w:themeColor="text1"/>
          <w:sz w:val="24"/>
          <w14:textFill>
            <w14:solidFill>
              <w14:schemeClr w14:val="tx1"/>
            </w14:solidFill>
          </w14:textFill>
        </w:rPr>
      </w:pPr>
      <w:r>
        <w:rPr>
          <w:color w:val="000000" w:themeColor="text1"/>
          <w:sz w:val="24"/>
          <w14:textFill>
            <w14:solidFill>
              <w14:schemeClr w14:val="tx1"/>
            </w14:solidFill>
          </w14:textFill>
        </w:rPr>
        <w:t>第三章</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投标文件的编制</w:t>
      </w:r>
    </w:p>
    <w:p>
      <w:pPr>
        <w:numPr>
          <w:ilvl w:val="1"/>
          <w:numId w:val="0"/>
        </w:numPr>
        <w:tabs>
          <w:tab w:val="left" w:pos="360"/>
        </w:tabs>
        <w:spacing w:line="360" w:lineRule="auto"/>
        <w:ind w:firstLine="540" w:firstLineChars="225"/>
        <w:rPr>
          <w:color w:val="000000" w:themeColor="text1"/>
          <w:sz w:val="24"/>
          <w14:textFill>
            <w14:solidFill>
              <w14:schemeClr w14:val="tx1"/>
            </w14:solidFill>
          </w14:textFill>
        </w:rPr>
      </w:pPr>
      <w:r>
        <w:rPr>
          <w:color w:val="000000" w:themeColor="text1"/>
          <w:sz w:val="24"/>
          <w14:textFill>
            <w14:solidFill>
              <w14:schemeClr w14:val="tx1"/>
            </w14:solidFill>
          </w14:textFill>
        </w:rPr>
        <w:t>第四章</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投标文件的递交</w:t>
      </w:r>
    </w:p>
    <w:p>
      <w:pPr>
        <w:numPr>
          <w:ilvl w:val="1"/>
          <w:numId w:val="0"/>
        </w:numPr>
        <w:tabs>
          <w:tab w:val="left" w:pos="360"/>
        </w:tabs>
        <w:spacing w:line="360" w:lineRule="auto"/>
        <w:ind w:firstLine="540" w:firstLineChars="225"/>
        <w:rPr>
          <w:color w:val="000000" w:themeColor="text1"/>
          <w:sz w:val="24"/>
          <w14:textFill>
            <w14:solidFill>
              <w14:schemeClr w14:val="tx1"/>
            </w14:solidFill>
          </w14:textFill>
        </w:rPr>
      </w:pPr>
      <w:r>
        <w:rPr>
          <w:color w:val="000000" w:themeColor="text1"/>
          <w:sz w:val="24"/>
          <w14:textFill>
            <w14:solidFill>
              <w14:schemeClr w14:val="tx1"/>
            </w14:solidFill>
          </w14:textFill>
        </w:rPr>
        <w:t>第五章</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开标</w:t>
      </w:r>
    </w:p>
    <w:p>
      <w:pPr>
        <w:numPr>
          <w:ilvl w:val="1"/>
          <w:numId w:val="0"/>
        </w:numPr>
        <w:tabs>
          <w:tab w:val="left" w:pos="360"/>
        </w:tabs>
        <w:spacing w:line="360" w:lineRule="auto"/>
        <w:ind w:firstLine="540" w:firstLineChars="225"/>
        <w:rPr>
          <w:color w:val="000000" w:themeColor="text1"/>
          <w:sz w:val="24"/>
          <w14:textFill>
            <w14:solidFill>
              <w14:schemeClr w14:val="tx1"/>
            </w14:solidFill>
          </w14:textFill>
        </w:rPr>
      </w:pPr>
      <w:r>
        <w:rPr>
          <w:color w:val="000000" w:themeColor="text1"/>
          <w:sz w:val="24"/>
          <w14:textFill>
            <w14:solidFill>
              <w14:schemeClr w14:val="tx1"/>
            </w14:solidFill>
          </w14:textFill>
        </w:rPr>
        <w:t>第六章</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评标要求</w:t>
      </w:r>
    </w:p>
    <w:p>
      <w:pPr>
        <w:numPr>
          <w:ilvl w:val="1"/>
          <w:numId w:val="0"/>
        </w:numPr>
        <w:tabs>
          <w:tab w:val="left" w:pos="360"/>
        </w:tabs>
        <w:spacing w:line="360" w:lineRule="auto"/>
        <w:ind w:firstLine="540" w:firstLineChars="225"/>
        <w:rPr>
          <w:color w:val="000000" w:themeColor="text1"/>
          <w:sz w:val="24"/>
          <w14:textFill>
            <w14:solidFill>
              <w14:schemeClr w14:val="tx1"/>
            </w14:solidFill>
          </w14:textFill>
        </w:rPr>
      </w:pPr>
      <w:r>
        <w:rPr>
          <w:color w:val="000000" w:themeColor="text1"/>
          <w:sz w:val="24"/>
          <w14:textFill>
            <w14:solidFill>
              <w14:schemeClr w14:val="tx1"/>
            </w14:solidFill>
          </w14:textFill>
        </w:rPr>
        <w:t>第七章</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评标程序及评标方法</w:t>
      </w:r>
    </w:p>
    <w:p>
      <w:pPr>
        <w:numPr>
          <w:ilvl w:val="1"/>
          <w:numId w:val="0"/>
        </w:numPr>
        <w:tabs>
          <w:tab w:val="left" w:pos="360"/>
        </w:tabs>
        <w:spacing w:line="360" w:lineRule="auto"/>
        <w:ind w:firstLine="540" w:firstLineChars="225"/>
        <w:rPr>
          <w:color w:val="000000" w:themeColor="text1"/>
          <w:sz w:val="24"/>
          <w14:textFill>
            <w14:solidFill>
              <w14:schemeClr w14:val="tx1"/>
            </w14:solidFill>
          </w14:textFill>
        </w:rPr>
      </w:pPr>
      <w:r>
        <w:rPr>
          <w:color w:val="000000" w:themeColor="text1"/>
          <w:sz w:val="24"/>
          <w14:textFill>
            <w14:solidFill>
              <w14:schemeClr w14:val="tx1"/>
            </w14:solidFill>
          </w14:textFill>
        </w:rPr>
        <w:t>第八章</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公开招标失败的后续处理</w:t>
      </w:r>
    </w:p>
    <w:p>
      <w:pPr>
        <w:numPr>
          <w:ilvl w:val="1"/>
          <w:numId w:val="0"/>
        </w:numPr>
        <w:tabs>
          <w:tab w:val="left" w:pos="360"/>
        </w:tabs>
        <w:spacing w:line="360" w:lineRule="auto"/>
        <w:ind w:firstLine="540" w:firstLineChars="225"/>
        <w:rPr>
          <w:color w:val="000000" w:themeColor="text1"/>
          <w:sz w:val="24"/>
          <w14:textFill>
            <w14:solidFill>
              <w14:schemeClr w14:val="tx1"/>
            </w14:solidFill>
          </w14:textFill>
        </w:rPr>
      </w:pPr>
      <w:r>
        <w:rPr>
          <w:color w:val="000000" w:themeColor="text1"/>
          <w:sz w:val="24"/>
          <w14:textFill>
            <w14:solidFill>
              <w14:schemeClr w14:val="tx1"/>
            </w14:solidFill>
          </w14:textFill>
        </w:rPr>
        <w:t>第九章</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合同的授予</w:t>
      </w:r>
    </w:p>
    <w:p>
      <w:pPr>
        <w:spacing w:line="360" w:lineRule="auto"/>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第二部分</w:t>
      </w:r>
      <w:r>
        <w:rPr>
          <w:rFonts w:hint="eastAsia" w:eastAsia="黑体"/>
          <w:color w:val="000000" w:themeColor="text1"/>
          <w:sz w:val="24"/>
          <w14:textFill>
            <w14:solidFill>
              <w14:schemeClr w14:val="tx1"/>
            </w14:solidFill>
          </w14:textFill>
        </w:rPr>
        <w:t xml:space="preserve"> </w:t>
      </w:r>
      <w:r>
        <w:rPr>
          <w:rFonts w:eastAsia="黑体"/>
          <w:color w:val="000000" w:themeColor="text1"/>
          <w:sz w:val="24"/>
          <w14:textFill>
            <w14:solidFill>
              <w14:schemeClr w14:val="tx1"/>
            </w14:solidFill>
          </w14:textFill>
        </w:rPr>
        <w:t>招标项目需求</w:t>
      </w:r>
    </w:p>
    <w:p>
      <w:pPr>
        <w:spacing w:line="360" w:lineRule="auto"/>
        <w:ind w:firstLine="540" w:firstLineChars="225"/>
        <w:rPr>
          <w:color w:val="000000" w:themeColor="text1"/>
          <w:sz w:val="24"/>
          <w14:textFill>
            <w14:solidFill>
              <w14:schemeClr w14:val="tx1"/>
            </w14:solidFill>
          </w14:textFill>
        </w:rPr>
      </w:pPr>
      <w:r>
        <w:rPr>
          <w:color w:val="000000" w:themeColor="text1"/>
          <w:sz w:val="24"/>
          <w14:textFill>
            <w14:solidFill>
              <w14:schemeClr w14:val="tx1"/>
            </w14:solidFill>
          </w14:textFill>
        </w:rPr>
        <w:t>第一章</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招标公告</w:t>
      </w:r>
    </w:p>
    <w:p>
      <w:pPr>
        <w:spacing w:line="360" w:lineRule="auto"/>
        <w:ind w:firstLine="540" w:firstLineChars="225"/>
        <w:rPr>
          <w:color w:val="000000" w:themeColor="text1"/>
          <w:sz w:val="24"/>
          <w14:textFill>
            <w14:solidFill>
              <w14:schemeClr w14:val="tx1"/>
            </w14:solidFill>
          </w14:textFill>
        </w:rPr>
      </w:pPr>
      <w:r>
        <w:rPr>
          <w:color w:val="000000" w:themeColor="text1"/>
          <w:sz w:val="24"/>
          <w14:textFill>
            <w14:solidFill>
              <w14:schemeClr w14:val="tx1"/>
            </w14:solidFill>
          </w14:textFill>
        </w:rPr>
        <w:t>第二章</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项目需求</w:t>
      </w:r>
    </w:p>
    <w:p>
      <w:pPr>
        <w:spacing w:line="360" w:lineRule="auto"/>
        <w:ind w:firstLine="540" w:firstLineChars="225"/>
        <w:rPr>
          <w:color w:val="000000" w:themeColor="text1"/>
          <w:sz w:val="24"/>
          <w14:textFill>
            <w14:solidFill>
              <w14:schemeClr w14:val="tx1"/>
            </w14:solidFill>
          </w14:textFill>
        </w:rPr>
      </w:pPr>
      <w:r>
        <w:rPr>
          <w:color w:val="000000" w:themeColor="text1"/>
          <w:sz w:val="24"/>
          <w14:textFill>
            <w14:solidFill>
              <w14:schemeClr w14:val="tx1"/>
            </w14:solidFill>
          </w14:textFill>
        </w:rPr>
        <w:t>第三章</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项目清单</w:t>
      </w:r>
    </w:p>
    <w:p>
      <w:pPr>
        <w:spacing w:line="360" w:lineRule="auto"/>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第三部分</w:t>
      </w:r>
      <w:r>
        <w:rPr>
          <w:rFonts w:hint="eastAsia" w:eastAsia="黑体"/>
          <w:color w:val="000000" w:themeColor="text1"/>
          <w:sz w:val="24"/>
          <w14:textFill>
            <w14:solidFill>
              <w14:schemeClr w14:val="tx1"/>
            </w14:solidFill>
          </w14:textFill>
        </w:rPr>
        <w:t xml:space="preserve"> </w:t>
      </w:r>
      <w:r>
        <w:rPr>
          <w:rFonts w:eastAsia="黑体"/>
          <w:color w:val="000000" w:themeColor="text1"/>
          <w:sz w:val="24"/>
          <w14:textFill>
            <w14:solidFill>
              <w14:schemeClr w14:val="tx1"/>
            </w14:solidFill>
          </w14:textFill>
        </w:rPr>
        <w:t>格式及附件</w:t>
      </w:r>
    </w:p>
    <w:p>
      <w:pPr>
        <w:spacing w:line="360" w:lineRule="auto"/>
        <w:ind w:firstLine="540" w:firstLineChars="225"/>
        <w:rPr>
          <w:color w:val="000000" w:themeColor="text1"/>
          <w:sz w:val="24"/>
          <w14:textFill>
            <w14:solidFill>
              <w14:schemeClr w14:val="tx1"/>
            </w14:solidFill>
          </w14:textFill>
        </w:rPr>
      </w:pPr>
      <w:r>
        <w:rPr>
          <w:color w:val="000000" w:themeColor="text1"/>
          <w:sz w:val="24"/>
          <w14:textFill>
            <w14:solidFill>
              <w14:schemeClr w14:val="tx1"/>
            </w14:solidFill>
          </w14:textFill>
        </w:rPr>
        <w:t>第一章</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合同条款及格式</w:t>
      </w:r>
    </w:p>
    <w:p>
      <w:pPr>
        <w:spacing w:line="360" w:lineRule="auto"/>
        <w:ind w:firstLine="540" w:firstLineChars="225"/>
        <w:rPr>
          <w:color w:val="000000" w:themeColor="text1"/>
          <w:sz w:val="24"/>
          <w14:textFill>
            <w14:solidFill>
              <w14:schemeClr w14:val="tx1"/>
            </w14:solidFill>
          </w14:textFill>
        </w:rPr>
      </w:pPr>
      <w:r>
        <w:rPr>
          <w:color w:val="000000" w:themeColor="text1"/>
          <w:sz w:val="24"/>
          <w14:textFill>
            <w14:solidFill>
              <w14:schemeClr w14:val="tx1"/>
            </w14:solidFill>
          </w14:textFill>
        </w:rPr>
        <w:t>第二章</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投标文件的格式、附件</w:t>
      </w:r>
    </w:p>
    <w:p>
      <w:pPr>
        <w:spacing w:line="360" w:lineRule="auto"/>
        <w:rPr>
          <w:rFonts w:eastAsia="黑体"/>
          <w:b/>
          <w:color w:val="000000" w:themeColor="text1"/>
          <w:sz w:val="24"/>
          <w14:textFill>
            <w14:solidFill>
              <w14:schemeClr w14:val="tx1"/>
            </w14:solidFill>
          </w14:textFill>
        </w:rPr>
      </w:pPr>
    </w:p>
    <w:p>
      <w:pPr>
        <w:spacing w:line="360" w:lineRule="auto"/>
        <w:rPr>
          <w:rFonts w:eastAsia="黑体"/>
          <w:b/>
          <w:color w:val="000000" w:themeColor="text1"/>
          <w:sz w:val="24"/>
          <w14:textFill>
            <w14:solidFill>
              <w14:schemeClr w14:val="tx1"/>
            </w14:solidFill>
          </w14:textFill>
        </w:rPr>
        <w:sectPr>
          <w:pgSz w:w="11906" w:h="16838"/>
          <w:pgMar w:top="1134" w:right="1134" w:bottom="1134" w:left="1134" w:header="851" w:footer="992" w:gutter="0"/>
          <w:cols w:space="425" w:num="1"/>
          <w:docGrid w:type="lines" w:linePitch="312" w:charSpace="0"/>
        </w:sectPr>
      </w:pPr>
    </w:p>
    <w:p>
      <w:pPr>
        <w:pStyle w:val="21"/>
        <w:spacing w:before="120" w:after="120"/>
        <w:rPr>
          <w:rFonts w:ascii="Times New Roman" w:hAnsi="Times New Roman"/>
          <w:b w:val="0"/>
          <w:color w:val="000000" w:themeColor="text1"/>
          <w14:textFill>
            <w14:solidFill>
              <w14:schemeClr w14:val="tx1"/>
            </w14:solidFill>
          </w14:textFill>
        </w:rPr>
      </w:pPr>
      <w:r>
        <w:rPr>
          <w:rFonts w:ascii="Times New Roman" w:hAnsi="Times New Roman" w:eastAsia="黑体"/>
          <w:b w:val="0"/>
          <w:color w:val="000000" w:themeColor="text1"/>
          <w:sz w:val="44"/>
          <w14:textFill>
            <w14:solidFill>
              <w14:schemeClr w14:val="tx1"/>
            </w14:solidFill>
          </w14:textFill>
        </w:rPr>
        <w:t>第一部分</w:t>
      </w:r>
      <w:r>
        <w:rPr>
          <w:rFonts w:hint="eastAsia" w:ascii="Times New Roman" w:hAnsi="Times New Roman" w:eastAsia="黑体"/>
          <w:b w:val="0"/>
          <w:color w:val="000000" w:themeColor="text1"/>
          <w:sz w:val="44"/>
          <w14:textFill>
            <w14:solidFill>
              <w14:schemeClr w14:val="tx1"/>
            </w14:solidFill>
          </w14:textFill>
        </w:rPr>
        <w:t xml:space="preserve"> </w:t>
      </w:r>
      <w:r>
        <w:rPr>
          <w:rFonts w:ascii="Times New Roman" w:hAnsi="Times New Roman" w:eastAsia="黑体"/>
          <w:b w:val="0"/>
          <w:color w:val="000000" w:themeColor="text1"/>
          <w:sz w:val="44"/>
          <w14:textFill>
            <w14:solidFill>
              <w14:schemeClr w14:val="tx1"/>
            </w14:solidFill>
          </w14:textFill>
        </w:rPr>
        <w:t>投标须知</w:t>
      </w:r>
    </w:p>
    <w:p>
      <w:pPr>
        <w:pStyle w:val="4"/>
        <w:numPr>
          <w:ilvl w:val="0"/>
          <w:numId w:val="1"/>
        </w:numPr>
        <w:adjustRightInd w:val="0"/>
        <w:spacing w:before="156" w:beforeLines="50" w:after="156" w:afterLines="50" w:line="240" w:lineRule="auto"/>
        <w:jc w:val="center"/>
        <w:textAlignment w:val="baseline"/>
        <w:rPr>
          <w:rFonts w:ascii="Times New Roman" w:hAnsi="Times New Roman"/>
          <w:color w:val="000000" w:themeColor="text1"/>
          <w:sz w:val="28"/>
          <w:szCs w:val="28"/>
          <w14:textFill>
            <w14:solidFill>
              <w14:schemeClr w14:val="tx1"/>
            </w14:solidFill>
          </w14:textFill>
        </w:rPr>
      </w:pPr>
      <w:bookmarkStart w:id="0" w:name="bt工程概况"/>
      <w:bookmarkEnd w:id="0"/>
      <w:r>
        <w:rPr>
          <w:rFonts w:ascii="Times New Roman" w:hAnsi="Times New Roman"/>
          <w:color w:val="000000" w:themeColor="text1"/>
          <w:sz w:val="28"/>
          <w:szCs w:val="28"/>
          <w14:textFill>
            <w14:solidFill>
              <w14:schemeClr w14:val="tx1"/>
            </w14:solidFill>
          </w14:textFill>
        </w:rPr>
        <w:t>总则</w:t>
      </w:r>
    </w:p>
    <w:p>
      <w:pPr>
        <w:spacing w:line="360" w:lineRule="auto"/>
        <w:rPr>
          <w:rFonts w:eastAsia="黑体"/>
          <w:color w:val="000000" w:themeColor="text1"/>
          <w:sz w:val="24"/>
          <w14:textFill>
            <w14:solidFill>
              <w14:schemeClr w14:val="tx1"/>
            </w14:solidFill>
          </w14:textFill>
        </w:rPr>
      </w:pPr>
      <w:bookmarkStart w:id="1" w:name="_Toc73517641"/>
      <w:bookmarkStart w:id="2" w:name="_Toc60560627"/>
      <w:bookmarkStart w:id="3" w:name="_Toc60631622"/>
      <w:bookmarkStart w:id="4" w:name="_Toc73521637"/>
      <w:bookmarkStart w:id="5" w:name="_Toc73518119"/>
      <w:bookmarkStart w:id="6" w:name="_Toc100052366"/>
      <w:bookmarkStart w:id="7" w:name="_Toc73521549"/>
      <w:r>
        <w:rPr>
          <w:rFonts w:eastAsia="黑体"/>
          <w:color w:val="000000" w:themeColor="text1"/>
          <w:sz w:val="24"/>
          <w14:textFill>
            <w14:solidFill>
              <w14:schemeClr w14:val="tx1"/>
            </w14:solidFill>
          </w14:textFill>
        </w:rPr>
        <w:t>1．招标说明</w:t>
      </w:r>
      <w:bookmarkEnd w:id="1"/>
      <w:bookmarkEnd w:id="2"/>
      <w:bookmarkEnd w:id="3"/>
      <w:bookmarkEnd w:id="4"/>
      <w:bookmarkEnd w:id="5"/>
      <w:bookmarkEnd w:id="6"/>
      <w:bookmarkEnd w:id="7"/>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本项目按照</w:t>
      </w:r>
      <w:r>
        <w:rPr>
          <w:color w:val="000000" w:themeColor="text1"/>
          <w:kern w:val="0"/>
          <w:szCs w:val="21"/>
          <w14:textFill>
            <w14:solidFill>
              <w14:schemeClr w14:val="tx1"/>
            </w14:solidFill>
          </w14:textFill>
        </w:rPr>
        <w:t>《中华人民共和国政府采购法》、《深圳经济特区政府采购条例》</w:t>
      </w:r>
      <w:r>
        <w:rPr>
          <w:color w:val="000000" w:themeColor="text1"/>
          <w:szCs w:val="21"/>
          <w14:textFill>
            <w14:solidFill>
              <w14:schemeClr w14:val="tx1"/>
            </w14:solidFill>
          </w14:textFill>
        </w:rPr>
        <w:t>的规定，并参考有关法规、政策、规章、规定，通过公开招标择优选定供应商。</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本招标文件适用于服务采购项目。</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本招标文件的解释权归属</w:t>
      </w:r>
      <w:r>
        <w:rPr>
          <w:rFonts w:hint="eastAsia"/>
          <w:color w:val="000000" w:themeColor="text1"/>
          <w:szCs w:val="21"/>
          <w14:textFill>
            <w14:solidFill>
              <w14:schemeClr w14:val="tx1"/>
            </w14:solidFill>
          </w14:textFill>
        </w:rPr>
        <w:t>哈尔滨工业大学深圳实验与创新实践教育中心。</w:t>
      </w:r>
    </w:p>
    <w:p>
      <w:pPr>
        <w:ind w:firstLine="411" w:firstLineChars="196"/>
        <w:rPr>
          <w:color w:val="000000" w:themeColor="text1"/>
          <w:szCs w:val="21"/>
          <w14:textFill>
            <w14:solidFill>
              <w14:schemeClr w14:val="tx1"/>
            </w14:solidFill>
          </w14:textFill>
        </w:rPr>
      </w:pPr>
      <w:bookmarkStart w:id="8" w:name="_Toc60560628"/>
      <w:bookmarkStart w:id="9" w:name="_Toc100052367"/>
      <w:bookmarkStart w:id="10" w:name="_Toc73518120"/>
      <w:bookmarkStart w:id="11" w:name="_Toc73517642"/>
      <w:bookmarkStart w:id="12" w:name="_Toc73521550"/>
      <w:bookmarkStart w:id="13" w:name="_Toc60631623"/>
      <w:bookmarkStart w:id="14" w:name="_Toc73521638"/>
      <w:r>
        <w:rPr>
          <w:rFonts w:hint="eastAsia"/>
          <w:color w:val="000000" w:themeColor="text1"/>
          <w:szCs w:val="21"/>
          <w14:textFill>
            <w14:solidFill>
              <w14:schemeClr w14:val="tx1"/>
            </w14:solidFill>
          </w14:textFill>
        </w:rPr>
        <w:t>2．定义</w:t>
      </w:r>
      <w:bookmarkEnd w:id="8"/>
      <w:bookmarkEnd w:id="9"/>
      <w:bookmarkEnd w:id="10"/>
      <w:bookmarkEnd w:id="11"/>
      <w:bookmarkEnd w:id="12"/>
      <w:bookmarkEnd w:id="13"/>
      <w:bookmarkEnd w:id="14"/>
    </w:p>
    <w:p>
      <w:pPr>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招标文件中下列术语应解释为：</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“招标方”即</w:t>
      </w:r>
      <w:r>
        <w:rPr>
          <w:rFonts w:hint="eastAsia"/>
          <w:b/>
          <w:color w:val="000000" w:themeColor="text1"/>
          <w:szCs w:val="21"/>
          <w:u w:val="single"/>
          <w14:textFill>
            <w14:solidFill>
              <w14:schemeClr w14:val="tx1"/>
            </w14:solidFill>
          </w14:textFill>
        </w:rPr>
        <w:t>哈尔滨工业大学深圳实验与创新实践教育中心</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“投标人”或“投标方”，即供应商，是指参加投标竞争的依法成立的单位，并愿意按照招标文件要求向采购人提供货物、工程或者服务的法人、其他组织或者自然人。</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3</w:t>
      </w:r>
      <w:r>
        <w:rPr>
          <w:color w:val="000000" w:themeColor="text1"/>
          <w:szCs w:val="21"/>
          <w14:textFill>
            <w14:solidFill>
              <w14:schemeClr w14:val="tx1"/>
            </w14:solidFill>
          </w14:textFill>
        </w:rPr>
        <w:t>“评标委员会”是依据《深圳经济特区政府采购条例》有关规定组建的专门负责本项目评标工作的临时性机构。</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“日期”指公历日。</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5</w:t>
      </w:r>
      <w:r>
        <w:rPr>
          <w:color w:val="000000" w:themeColor="text1"/>
          <w:szCs w:val="21"/>
          <w14:textFill>
            <w14:solidFill>
              <w14:schemeClr w14:val="tx1"/>
            </w14:solidFill>
          </w14:textFill>
        </w:rPr>
        <w:t xml:space="preserve"> “合同”指由本次招标所产生的合同或合约文件。</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6</w:t>
      </w:r>
      <w:r>
        <w:rPr>
          <w:color w:val="000000" w:themeColor="text1"/>
          <w:szCs w:val="21"/>
          <w14:textFill>
            <w14:solidFill>
              <w14:schemeClr w14:val="tx1"/>
            </w14:solidFill>
          </w14:textFill>
        </w:rPr>
        <w:t xml:space="preserve"> “纸质投标文件”指根据本招标文件模板的要求规范填写，打印输出并盖有单位公章的投标文件原件。</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7</w:t>
      </w:r>
      <w:r>
        <w:rPr>
          <w:color w:val="000000" w:themeColor="text1"/>
          <w:szCs w:val="21"/>
          <w14:textFill>
            <w14:solidFill>
              <w14:schemeClr w14:val="tx1"/>
            </w14:solidFill>
          </w14:textFill>
        </w:rPr>
        <w:t>“现场投标”指在规定时间内直接向</w:t>
      </w:r>
      <w:r>
        <w:rPr>
          <w:rFonts w:hint="eastAsia"/>
          <w:color w:val="000000" w:themeColor="text1"/>
          <w:szCs w:val="21"/>
          <w14:textFill>
            <w14:solidFill>
              <w14:schemeClr w14:val="tx1"/>
            </w14:solidFill>
          </w14:textFill>
        </w:rPr>
        <w:t>招标方</w:t>
      </w:r>
      <w:r>
        <w:rPr>
          <w:color w:val="000000" w:themeColor="text1"/>
          <w:szCs w:val="21"/>
          <w14:textFill>
            <w14:solidFill>
              <w14:schemeClr w14:val="tx1"/>
            </w14:solidFill>
          </w14:textFill>
        </w:rPr>
        <w:t>提交纸质投标文件。</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8</w:t>
      </w:r>
      <w:r>
        <w:rPr>
          <w:color w:val="000000" w:themeColor="text1"/>
          <w:szCs w:val="21"/>
          <w14:textFill>
            <w14:solidFill>
              <w14:schemeClr w14:val="tx1"/>
            </w14:solidFill>
          </w14:textFill>
        </w:rPr>
        <w:t>招标文件中的标题或题名仅起引导作用，而不应视为对招标文件内容的理解和解释。</w:t>
      </w:r>
    </w:p>
    <w:p>
      <w:pPr>
        <w:spacing w:line="360" w:lineRule="auto"/>
        <w:rPr>
          <w:rFonts w:eastAsia="黑体"/>
          <w:color w:val="000000" w:themeColor="text1"/>
          <w:sz w:val="24"/>
          <w14:textFill>
            <w14:solidFill>
              <w14:schemeClr w14:val="tx1"/>
            </w14:solidFill>
          </w14:textFill>
        </w:rPr>
      </w:pPr>
      <w:bookmarkStart w:id="15" w:name="_Toc73518121"/>
      <w:bookmarkStart w:id="16" w:name="_Toc73521639"/>
      <w:bookmarkStart w:id="17" w:name="_Toc73517643"/>
      <w:bookmarkStart w:id="18" w:name="_Toc100052368"/>
      <w:bookmarkStart w:id="19" w:name="_Toc60631624"/>
      <w:bookmarkStart w:id="20" w:name="_Toc73521551"/>
      <w:bookmarkStart w:id="21" w:name="_Toc60560629"/>
      <w:r>
        <w:rPr>
          <w:rFonts w:eastAsia="黑体"/>
          <w:color w:val="000000" w:themeColor="text1"/>
          <w:sz w:val="24"/>
          <w14:textFill>
            <w14:solidFill>
              <w14:schemeClr w14:val="tx1"/>
            </w14:solidFill>
          </w14:textFill>
        </w:rPr>
        <w:t>3．投标人的资质要求</w:t>
      </w:r>
      <w:bookmarkEnd w:id="15"/>
      <w:bookmarkEnd w:id="16"/>
      <w:bookmarkEnd w:id="17"/>
      <w:bookmarkEnd w:id="18"/>
      <w:bookmarkEnd w:id="19"/>
      <w:bookmarkEnd w:id="20"/>
      <w:bookmarkEnd w:id="21"/>
    </w:p>
    <w:p>
      <w:pPr>
        <w:ind w:firstLine="411" w:firstLineChars="196"/>
        <w:rPr>
          <w:b/>
          <w:bCs/>
          <w:color w:val="000000" w:themeColor="text1"/>
          <w:szCs w:val="21"/>
          <w14:textFill>
            <w14:solidFill>
              <w14:schemeClr w14:val="tx1"/>
            </w14:solidFill>
          </w14:textFill>
        </w:rPr>
      </w:pPr>
      <w:r>
        <w:rPr>
          <w:color w:val="000000" w:themeColor="text1"/>
          <w:szCs w:val="21"/>
          <w14:textFill>
            <w14:solidFill>
              <w14:schemeClr w14:val="tx1"/>
            </w14:solidFill>
          </w14:textFill>
        </w:rPr>
        <w:t>3.1  参加政府采购活动投标人应当具备条件：</w:t>
      </w:r>
      <w:r>
        <w:rPr>
          <w:b/>
          <w:bCs/>
          <w:color w:val="000000" w:themeColor="text1"/>
          <w:szCs w:val="21"/>
          <w14:textFill>
            <w14:solidFill>
              <w14:schemeClr w14:val="tx1"/>
            </w14:solidFill>
          </w14:textFill>
        </w:rPr>
        <w:t>（见招标公告有关资质要求）</w:t>
      </w:r>
    </w:p>
    <w:p>
      <w:pPr>
        <w:rPr>
          <w:color w:val="000000" w:themeColor="text1"/>
          <w:szCs w:val="21"/>
          <w14:textFill>
            <w14:solidFill>
              <w14:schemeClr w14:val="tx1"/>
            </w14:solidFill>
          </w14:textFill>
        </w:rPr>
      </w:pPr>
      <w:bookmarkStart w:id="22" w:name="_Toc73517645"/>
      <w:bookmarkStart w:id="23" w:name="_Toc100052370"/>
      <w:bookmarkStart w:id="24" w:name="_Toc60631626"/>
      <w:bookmarkStart w:id="25" w:name="_Toc60560631"/>
      <w:bookmarkStart w:id="26" w:name="_Toc73521641"/>
      <w:bookmarkStart w:id="27" w:name="_Toc73518123"/>
      <w:bookmarkStart w:id="28" w:name="_Toc73521553"/>
      <w:r>
        <w:rPr>
          <w:rFonts w:eastAsia="黑体"/>
          <w:color w:val="000000" w:themeColor="text1"/>
          <w:sz w:val="24"/>
          <w14:textFill>
            <w14:solidFill>
              <w14:schemeClr w14:val="tx1"/>
            </w14:solidFill>
          </w14:textFill>
        </w:rPr>
        <w:t>4．联合体投标</w:t>
      </w:r>
    </w:p>
    <w:p>
      <w:pPr>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4.1 除非招标公告中允许投标人组成联合体投标，否则以下有关联合体投标的条款不予考虑。</w:t>
      </w:r>
    </w:p>
    <w:p>
      <w:pPr>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4.2 由两个或两个以上法人组成一个联合体以一个投标人的身份共同投标时，应符合以下原则：</w:t>
      </w:r>
    </w:p>
    <w:p>
      <w:pPr>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4.2.1投标联合体各方参加政府采购活动应当具备下列条件：</w:t>
      </w:r>
    </w:p>
    <w:p>
      <w:pPr>
        <w:ind w:left="420" w:leftChars="200" w:firstLine="411" w:firstLineChars="196"/>
        <w:rPr>
          <w:color w:val="000000" w:themeColor="text1"/>
          <w14:textFill>
            <w14:solidFill>
              <w14:schemeClr w14:val="tx1"/>
            </w14:solidFill>
          </w14:textFill>
        </w:rPr>
      </w:pPr>
      <w:r>
        <w:rPr>
          <w:rFonts w:ascii="宋体"/>
          <w:color w:val="000000" w:themeColor="text1"/>
          <w14:textFill>
            <w14:solidFill>
              <w14:schemeClr w14:val="tx1"/>
            </w14:solidFill>
          </w14:textFill>
        </w:rPr>
        <w:t>①</w:t>
      </w:r>
      <w:r>
        <w:rPr>
          <w:color w:val="000000" w:themeColor="text1"/>
          <w14:textFill>
            <w14:solidFill>
              <w14:schemeClr w14:val="tx1"/>
            </w14:solidFill>
          </w14:textFill>
        </w:rPr>
        <w:t>具有独立承担民事责任的能力；</w:t>
      </w:r>
    </w:p>
    <w:p>
      <w:pPr>
        <w:ind w:left="420" w:firstLine="411" w:firstLineChars="196"/>
        <w:rPr>
          <w:color w:val="000000" w:themeColor="text1"/>
          <w14:textFill>
            <w14:solidFill>
              <w14:schemeClr w14:val="tx1"/>
            </w14:solidFill>
          </w14:textFill>
        </w:rPr>
      </w:pPr>
      <w:r>
        <w:rPr>
          <w:rFonts w:ascii="宋体"/>
          <w:color w:val="000000" w:themeColor="text1"/>
          <w14:textFill>
            <w14:solidFill>
              <w14:schemeClr w14:val="tx1"/>
            </w14:solidFill>
          </w14:textFill>
        </w:rPr>
        <w:t>②</w:t>
      </w:r>
      <w:r>
        <w:rPr>
          <w:color w:val="000000" w:themeColor="text1"/>
          <w14:textFill>
            <w14:solidFill>
              <w14:schemeClr w14:val="tx1"/>
            </w14:solidFill>
          </w14:textFill>
        </w:rPr>
        <w:t>有良好的商业信誉和健全的财务会计制度；</w:t>
      </w:r>
    </w:p>
    <w:p>
      <w:pPr>
        <w:ind w:left="420" w:leftChars="200" w:firstLine="411" w:firstLineChars="196"/>
        <w:rPr>
          <w:color w:val="000000" w:themeColor="text1"/>
          <w14:textFill>
            <w14:solidFill>
              <w14:schemeClr w14:val="tx1"/>
            </w14:solidFill>
          </w14:textFill>
        </w:rPr>
      </w:pPr>
      <w:r>
        <w:rPr>
          <w:rFonts w:ascii="宋体"/>
          <w:color w:val="000000" w:themeColor="text1"/>
          <w14:textFill>
            <w14:solidFill>
              <w14:schemeClr w14:val="tx1"/>
            </w14:solidFill>
          </w14:textFill>
        </w:rPr>
        <w:t>③</w:t>
      </w:r>
      <w:r>
        <w:rPr>
          <w:color w:val="000000" w:themeColor="text1"/>
          <w14:textFill>
            <w14:solidFill>
              <w14:schemeClr w14:val="tx1"/>
            </w14:solidFill>
          </w14:textFill>
        </w:rPr>
        <w:t>具有履行合同所必需的产品和专业技术能力；</w:t>
      </w:r>
    </w:p>
    <w:p>
      <w:pPr>
        <w:ind w:left="420" w:leftChars="200" w:firstLine="411" w:firstLineChars="196"/>
        <w:rPr>
          <w:color w:val="000000" w:themeColor="text1"/>
          <w14:textFill>
            <w14:solidFill>
              <w14:schemeClr w14:val="tx1"/>
            </w14:solidFill>
          </w14:textFill>
        </w:rPr>
      </w:pPr>
      <w:r>
        <w:rPr>
          <w:rFonts w:ascii="宋体"/>
          <w:color w:val="000000" w:themeColor="text1"/>
          <w14:textFill>
            <w14:solidFill>
              <w14:schemeClr w14:val="tx1"/>
            </w14:solidFill>
          </w14:textFill>
        </w:rPr>
        <w:t>④</w:t>
      </w:r>
      <w:r>
        <w:rPr>
          <w:color w:val="000000" w:themeColor="text1"/>
          <w14:textFill>
            <w14:solidFill>
              <w14:schemeClr w14:val="tx1"/>
            </w14:solidFill>
          </w14:textFill>
        </w:rPr>
        <w:t>有依法缴纳税收和社会保障资金的良好记录；</w:t>
      </w:r>
    </w:p>
    <w:p>
      <w:pPr>
        <w:ind w:left="420" w:leftChars="200" w:firstLine="411" w:firstLineChars="196"/>
        <w:rPr>
          <w:color w:val="000000" w:themeColor="text1"/>
          <w14:textFill>
            <w14:solidFill>
              <w14:schemeClr w14:val="tx1"/>
            </w14:solidFill>
          </w14:textFill>
        </w:rPr>
      </w:pPr>
      <w:r>
        <w:rPr>
          <w:rFonts w:ascii="宋体"/>
          <w:color w:val="000000" w:themeColor="text1"/>
          <w14:textFill>
            <w14:solidFill>
              <w14:schemeClr w14:val="tx1"/>
            </w14:solidFill>
          </w14:textFill>
        </w:rPr>
        <w:t>⑤</w:t>
      </w:r>
      <w:r>
        <w:rPr>
          <w:color w:val="000000" w:themeColor="text1"/>
          <w14:textFill>
            <w14:solidFill>
              <w14:schemeClr w14:val="tx1"/>
            </w14:solidFill>
          </w14:textFill>
        </w:rPr>
        <w:t>参加政府采购活动前三年内，在经营活动中没有重大违法记录；</w:t>
      </w:r>
    </w:p>
    <w:p>
      <w:pPr>
        <w:ind w:left="420" w:leftChars="200" w:firstLine="411" w:firstLineChars="196"/>
        <w:rPr>
          <w:color w:val="000000" w:themeColor="text1"/>
          <w14:textFill>
            <w14:solidFill>
              <w14:schemeClr w14:val="tx1"/>
            </w14:solidFill>
          </w14:textFill>
        </w:rPr>
      </w:pPr>
      <w:r>
        <w:rPr>
          <w:rFonts w:ascii="宋体"/>
          <w:color w:val="000000" w:themeColor="text1"/>
          <w14:textFill>
            <w14:solidFill>
              <w14:schemeClr w14:val="tx1"/>
            </w14:solidFill>
          </w14:textFill>
        </w:rPr>
        <w:t>⑥</w:t>
      </w:r>
      <w:r>
        <w:rPr>
          <w:color w:val="000000" w:themeColor="text1"/>
          <w14:textFill>
            <w14:solidFill>
              <w14:schemeClr w14:val="tx1"/>
            </w14:solidFill>
          </w14:textFill>
        </w:rPr>
        <w:t>法律、行政法规规定的其他条件。</w:t>
      </w:r>
    </w:p>
    <w:p>
      <w:pPr>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4.2.2投标联合体各方必须有一方先行注册成深圳市网上政府采购供应商；</w:t>
      </w:r>
    </w:p>
    <w:p>
      <w:pPr>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4.2.3对于招标公告中所要求投标人应具有的某一资质，若联合体各方均具有，则将以联合体各方中最低的资质等级作为联合体在这一资质条件上的资质等级；联合体各方的不同资质可优势互补。</w:t>
      </w:r>
    </w:p>
    <w:p>
      <w:pPr>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4.2.4投标人的投标文件及中标后签署的合同协议对联合体各方均具法律约束力；</w:t>
      </w:r>
    </w:p>
    <w:p>
      <w:pPr>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4.2.5联合体各方应当签订共同投标协议，明确约定各方拟承担的工作和责任，并将该共同投标协议随投标文件一并递交给</w:t>
      </w:r>
      <w:r>
        <w:rPr>
          <w:rFonts w:hint="eastAsia"/>
          <w:color w:val="000000" w:themeColor="text1"/>
          <w14:textFill>
            <w14:solidFill>
              <w14:schemeClr w14:val="tx1"/>
            </w14:solidFill>
          </w14:textFill>
        </w:rPr>
        <w:t>招标方</w:t>
      </w:r>
      <w:r>
        <w:rPr>
          <w:color w:val="000000" w:themeColor="text1"/>
          <w14:textFill>
            <w14:solidFill>
              <w14:schemeClr w14:val="tx1"/>
            </w14:solidFill>
          </w14:textFill>
        </w:rPr>
        <w:t>；</w:t>
      </w:r>
    </w:p>
    <w:p>
      <w:pPr>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4.2.6联合体中标后，联合体各方应当共同与</w:t>
      </w:r>
      <w:r>
        <w:rPr>
          <w:rFonts w:hint="eastAsia"/>
          <w:color w:val="000000" w:themeColor="text1"/>
          <w14:textFill>
            <w14:solidFill>
              <w14:schemeClr w14:val="tx1"/>
            </w14:solidFill>
          </w14:textFill>
        </w:rPr>
        <w:t>招标方</w:t>
      </w:r>
      <w:r>
        <w:rPr>
          <w:color w:val="000000" w:themeColor="text1"/>
          <w14:textFill>
            <w14:solidFill>
              <w14:schemeClr w14:val="tx1"/>
            </w14:solidFill>
          </w14:textFill>
        </w:rPr>
        <w:t>签订合同，就中标项目向</w:t>
      </w:r>
      <w:r>
        <w:rPr>
          <w:rFonts w:hint="eastAsia"/>
          <w:color w:val="000000" w:themeColor="text1"/>
          <w14:textFill>
            <w14:solidFill>
              <w14:schemeClr w14:val="tx1"/>
            </w14:solidFill>
          </w14:textFill>
        </w:rPr>
        <w:t>招标方</w:t>
      </w:r>
      <w:r>
        <w:rPr>
          <w:color w:val="000000" w:themeColor="text1"/>
          <w14:textFill>
            <w14:solidFill>
              <w14:schemeClr w14:val="tx1"/>
            </w14:solidFill>
          </w14:textFill>
        </w:rPr>
        <w:t>承担连带责任；</w:t>
      </w:r>
    </w:p>
    <w:p>
      <w:pPr>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4.2.7联合体的各方应当共同推荐一联合体投标授权代表人，由联合体各方提交一份授权书，证明其有资格代表联合体各方签署投标文件，该授权书作为投标文件的组成部分一并提交给</w:t>
      </w:r>
      <w:r>
        <w:rPr>
          <w:rFonts w:hint="eastAsia"/>
          <w:color w:val="000000" w:themeColor="text1"/>
          <w14:textFill>
            <w14:solidFill>
              <w14:schemeClr w14:val="tx1"/>
            </w14:solidFill>
          </w14:textFill>
        </w:rPr>
        <w:t>招标方</w:t>
      </w:r>
      <w:r>
        <w:rPr>
          <w:color w:val="000000" w:themeColor="text1"/>
          <w14:textFill>
            <w14:solidFill>
              <w14:schemeClr w14:val="tx1"/>
            </w14:solidFill>
          </w14:textFill>
        </w:rPr>
        <w:t>；</w:t>
      </w:r>
    </w:p>
    <w:p>
      <w:pPr>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4.2.8参加联合体的各方不得再以自己的名义单独投标，不得同时参加两个或两个以上的联合体投标、不得以分包商或其它形式参与投标，出现上述情况者，其投标和与此有关联合体、总包单位的投标将被拒绝；</w:t>
      </w:r>
    </w:p>
    <w:p>
      <w:pPr>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4.2.9除非另有规定或说明，本须知中“投标人”一词亦指联合体各方。</w:t>
      </w:r>
    </w:p>
    <w:p>
      <w:pPr>
        <w:spacing w:line="360" w:lineRule="auto"/>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5．投标费用</w:t>
      </w:r>
      <w:bookmarkEnd w:id="22"/>
      <w:bookmarkEnd w:id="23"/>
      <w:bookmarkEnd w:id="24"/>
      <w:bookmarkEnd w:id="25"/>
      <w:bookmarkEnd w:id="26"/>
      <w:bookmarkEnd w:id="27"/>
      <w:bookmarkEnd w:id="28"/>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不论投标结果如何，投标人应承担其编制投标文件与递交投标文件所涉及的一切费用。</w:t>
      </w:r>
    </w:p>
    <w:p>
      <w:pPr>
        <w:spacing w:line="360" w:lineRule="auto"/>
        <w:rPr>
          <w:rFonts w:eastAsia="黑体"/>
          <w:color w:val="000000" w:themeColor="text1"/>
          <w:sz w:val="24"/>
          <w14:textFill>
            <w14:solidFill>
              <w14:schemeClr w14:val="tx1"/>
            </w14:solidFill>
          </w14:textFill>
        </w:rPr>
      </w:pPr>
      <w:bookmarkStart w:id="29" w:name="_Toc100052371"/>
      <w:bookmarkStart w:id="30" w:name="_Toc60560632"/>
      <w:bookmarkStart w:id="31" w:name="_Toc73518124"/>
      <w:bookmarkStart w:id="32" w:name="_Toc73517646"/>
      <w:bookmarkStart w:id="33" w:name="_Toc60631627"/>
      <w:bookmarkStart w:id="34" w:name="_Toc73521554"/>
      <w:bookmarkStart w:id="35" w:name="_Toc73521642"/>
      <w:r>
        <w:rPr>
          <w:rFonts w:eastAsia="黑体"/>
          <w:color w:val="000000" w:themeColor="text1"/>
          <w:sz w:val="24"/>
          <w14:textFill>
            <w14:solidFill>
              <w14:schemeClr w14:val="tx1"/>
            </w14:solidFill>
          </w14:textFill>
        </w:rPr>
        <w:t>6．踏勘现场</w:t>
      </w:r>
      <w:bookmarkEnd w:id="29"/>
      <w:bookmarkEnd w:id="30"/>
      <w:bookmarkEnd w:id="31"/>
      <w:bookmarkEnd w:id="32"/>
      <w:bookmarkEnd w:id="33"/>
      <w:bookmarkEnd w:id="34"/>
      <w:bookmarkEnd w:id="35"/>
    </w:p>
    <w:p>
      <w:pPr>
        <w:ind w:firstLine="411" w:firstLineChars="196"/>
        <w:rPr>
          <w:color w:val="000000" w:themeColor="text1"/>
          <w14:textFill>
            <w14:solidFill>
              <w14:schemeClr w14:val="tx1"/>
            </w14:solidFill>
          </w14:textFill>
        </w:rPr>
      </w:pPr>
      <w:bookmarkStart w:id="36" w:name="_Toc78260681"/>
      <w:bookmarkStart w:id="37" w:name="_Toc100052372"/>
      <w:r>
        <w:rPr>
          <w:color w:val="000000" w:themeColor="text1"/>
          <w14:textFill>
            <w14:solidFill>
              <w14:schemeClr w14:val="tx1"/>
            </w14:solidFill>
          </w14:textFill>
        </w:rPr>
        <w:t>6.1如有需要，</w:t>
      </w:r>
      <w:r>
        <w:rPr>
          <w:rFonts w:hint="eastAsia"/>
          <w:color w:val="000000" w:themeColor="text1"/>
          <w14:textFill>
            <w14:solidFill>
              <w14:schemeClr w14:val="tx1"/>
            </w14:solidFill>
          </w14:textFill>
        </w:rPr>
        <w:t>招标方</w:t>
      </w:r>
      <w:r>
        <w:rPr>
          <w:color w:val="000000" w:themeColor="text1"/>
          <w14:textFill>
            <w14:solidFill>
              <w14:schemeClr w14:val="tx1"/>
            </w14:solidFill>
          </w14:textFill>
        </w:rPr>
        <w:t>将组织投标人对项目现场及周围环境进行踏勘，以便投标人获取有关编制投标文件和签署合同所需的所有资料。踏勘现场所发生的费用由投标人自己承担，投标人应按采购公告所约定的时间、地点统一踏勘现场。</w:t>
      </w:r>
    </w:p>
    <w:p>
      <w:pPr>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6.2投标人及其人员经过</w:t>
      </w:r>
      <w:r>
        <w:rPr>
          <w:rFonts w:hint="eastAsia"/>
          <w:color w:val="000000" w:themeColor="text1"/>
          <w14:textFill>
            <w14:solidFill>
              <w14:schemeClr w14:val="tx1"/>
            </w14:solidFill>
          </w14:textFill>
        </w:rPr>
        <w:t>招标方</w:t>
      </w:r>
      <w:r>
        <w:rPr>
          <w:color w:val="000000" w:themeColor="text1"/>
          <w14:textFill>
            <w14:solidFill>
              <w14:schemeClr w14:val="tx1"/>
            </w14:solidFill>
          </w14:textFill>
        </w:rPr>
        <w:t>的允许，可以踏勘目的进入</w:t>
      </w:r>
      <w:r>
        <w:rPr>
          <w:rFonts w:hint="eastAsia"/>
          <w:color w:val="000000" w:themeColor="text1"/>
          <w14:textFill>
            <w14:solidFill>
              <w14:schemeClr w14:val="tx1"/>
            </w14:solidFill>
          </w14:textFill>
        </w:rPr>
        <w:t>招标方</w:t>
      </w:r>
      <w:r>
        <w:rPr>
          <w:color w:val="000000" w:themeColor="text1"/>
          <w14:textFill>
            <w14:solidFill>
              <w14:schemeClr w14:val="tx1"/>
            </w14:solidFill>
          </w14:textFill>
        </w:rPr>
        <w:t>的项目现场。投标人未参与统一组织踏勘现场的，</w:t>
      </w:r>
      <w:r>
        <w:rPr>
          <w:rFonts w:hint="eastAsia"/>
          <w:color w:val="000000" w:themeColor="text1"/>
          <w14:textFill>
            <w14:solidFill>
              <w14:schemeClr w14:val="tx1"/>
            </w14:solidFill>
          </w14:textFill>
        </w:rPr>
        <w:t>招标方</w:t>
      </w:r>
      <w:r>
        <w:rPr>
          <w:color w:val="000000" w:themeColor="text1"/>
          <w14:textFill>
            <w14:solidFill>
              <w14:schemeClr w14:val="tx1"/>
            </w14:solidFill>
          </w14:textFill>
        </w:rPr>
        <w:t>有权拒绝其进入项目现场。</w:t>
      </w:r>
    </w:p>
    <w:p>
      <w:pPr>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6.3</w:t>
      </w:r>
      <w:r>
        <w:rPr>
          <w:rFonts w:hint="eastAsia"/>
          <w:color w:val="000000" w:themeColor="text1"/>
          <w14:textFill>
            <w14:solidFill>
              <w14:schemeClr w14:val="tx1"/>
            </w14:solidFill>
          </w14:textFill>
        </w:rPr>
        <w:t>招标方须按有关规定</w:t>
      </w:r>
      <w:r>
        <w:rPr>
          <w:color w:val="000000" w:themeColor="text1"/>
          <w14:textFill>
            <w14:solidFill>
              <w14:schemeClr w14:val="tx1"/>
            </w14:solidFill>
          </w14:textFill>
        </w:rPr>
        <w:t>向投标人提供有关现场的资料和数据。</w:t>
      </w:r>
    </w:p>
    <w:p>
      <w:pPr>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6.4任何人或任何组织在踏勘现场时向投标人提交的任何书面或口头上的资料，未经</w:t>
      </w:r>
      <w:r>
        <w:rPr>
          <w:rFonts w:hint="eastAsia"/>
          <w:color w:val="000000" w:themeColor="text1"/>
          <w14:textFill>
            <w14:solidFill>
              <w14:schemeClr w14:val="tx1"/>
            </w14:solidFill>
          </w14:textFill>
        </w:rPr>
        <w:t>招标方</w:t>
      </w:r>
      <w:r>
        <w:rPr>
          <w:color w:val="000000" w:themeColor="text1"/>
          <w14:textFill>
            <w14:solidFill>
              <w14:schemeClr w14:val="tx1"/>
            </w14:solidFill>
          </w14:textFill>
        </w:rPr>
        <w:t>在网上发布或书面通知，均作无效处理。</w:t>
      </w:r>
      <w:r>
        <w:rPr>
          <w:rFonts w:hint="eastAsia"/>
          <w:color w:val="000000" w:themeColor="text1"/>
          <w14:textFill>
            <w14:solidFill>
              <w14:schemeClr w14:val="tx1"/>
            </w14:solidFill>
          </w14:textFill>
        </w:rPr>
        <w:t>招标方</w:t>
      </w:r>
      <w:r>
        <w:rPr>
          <w:color w:val="000000" w:themeColor="text1"/>
          <w14:textFill>
            <w14:solidFill>
              <w14:schemeClr w14:val="tx1"/>
            </w14:solidFill>
          </w14:textFill>
        </w:rPr>
        <w:t>对投标人由此而做出的推论、理解和结论概不负责。</w:t>
      </w:r>
    </w:p>
    <w:p>
      <w:pPr>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6.5 未参与现场踏勘不作为否定投标人资格的理由。</w:t>
      </w:r>
    </w:p>
    <w:p>
      <w:pPr>
        <w:spacing w:line="360" w:lineRule="auto"/>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7．招标</w:t>
      </w:r>
      <w:bookmarkEnd w:id="36"/>
      <w:r>
        <w:rPr>
          <w:rFonts w:eastAsia="黑体"/>
          <w:color w:val="000000" w:themeColor="text1"/>
          <w:sz w:val="24"/>
          <w14:textFill>
            <w14:solidFill>
              <w14:schemeClr w14:val="tx1"/>
            </w14:solidFill>
          </w14:textFill>
        </w:rPr>
        <w:t>答疑</w:t>
      </w:r>
      <w:bookmarkEnd w:id="37"/>
    </w:p>
    <w:p>
      <w:pPr>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7.1 任何要求对招标文件进行澄清的投标人，均应于“招标公告”中所述答疑截止时间前通知</w:t>
      </w:r>
      <w:r>
        <w:rPr>
          <w:rFonts w:hint="eastAsia"/>
          <w:color w:val="000000" w:themeColor="text1"/>
          <w14:textFill>
            <w14:solidFill>
              <w14:schemeClr w14:val="tx1"/>
            </w14:solidFill>
          </w14:textFill>
        </w:rPr>
        <w:t>招标方</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招标方</w:t>
      </w:r>
      <w:r>
        <w:rPr>
          <w:color w:val="000000" w:themeColor="text1"/>
          <w14:textFill>
            <w14:solidFill>
              <w14:schemeClr w14:val="tx1"/>
            </w14:solidFill>
          </w14:textFill>
        </w:rPr>
        <w:t>对规定时间内收到的对招标文件的澄清，视情况予以答复。具体答疑方式请见本招标文件第二部分第一章之规定。</w:t>
      </w:r>
    </w:p>
    <w:p>
      <w:pPr>
        <w:pStyle w:val="4"/>
        <w:numPr>
          <w:ilvl w:val="0"/>
          <w:numId w:val="1"/>
        </w:numPr>
        <w:adjustRightInd w:val="0"/>
        <w:spacing w:before="156" w:beforeLines="50" w:after="156" w:afterLines="50" w:line="240" w:lineRule="auto"/>
        <w:jc w:val="center"/>
        <w:textAlignment w:val="baseline"/>
        <w:rPr>
          <w:rFonts w:ascii="Times New Roman" w:hAnsi="Times New Roman"/>
          <w:color w:val="000000" w:themeColor="text1"/>
          <w:sz w:val="28"/>
          <w:szCs w:val="28"/>
          <w14:textFill>
            <w14:solidFill>
              <w14:schemeClr w14:val="tx1"/>
            </w14:solidFill>
          </w14:textFill>
        </w:rPr>
      </w:pPr>
      <w:bookmarkStart w:id="38" w:name="bt招标文件"/>
      <w:bookmarkEnd w:id="38"/>
      <w:bookmarkStart w:id="39" w:name="_Toc73521644"/>
      <w:bookmarkStart w:id="40" w:name="_Toc101074878"/>
      <w:bookmarkStart w:id="41" w:name="_Toc73518126"/>
      <w:bookmarkStart w:id="42" w:name="_Toc100052373"/>
      <w:bookmarkStart w:id="43" w:name="_Toc73521556"/>
      <w:bookmarkStart w:id="44" w:name="_Toc73517648"/>
      <w:r>
        <w:rPr>
          <w:rFonts w:ascii="Times New Roman" w:hAnsi="Times New Roman"/>
          <w:color w:val="000000" w:themeColor="text1"/>
          <w:sz w:val="28"/>
          <w:szCs w:val="28"/>
          <w14:textFill>
            <w14:solidFill>
              <w14:schemeClr w14:val="tx1"/>
            </w14:solidFill>
          </w14:textFill>
        </w:rPr>
        <w:t>招标文件</w:t>
      </w:r>
      <w:bookmarkEnd w:id="39"/>
      <w:bookmarkEnd w:id="40"/>
      <w:bookmarkEnd w:id="41"/>
      <w:bookmarkEnd w:id="42"/>
      <w:bookmarkEnd w:id="43"/>
      <w:bookmarkEnd w:id="44"/>
    </w:p>
    <w:p>
      <w:pPr>
        <w:spacing w:line="360" w:lineRule="auto"/>
        <w:rPr>
          <w:rFonts w:eastAsia="黑体"/>
          <w:color w:val="000000" w:themeColor="text1"/>
          <w:sz w:val="24"/>
          <w14:textFill>
            <w14:solidFill>
              <w14:schemeClr w14:val="tx1"/>
            </w14:solidFill>
          </w14:textFill>
        </w:rPr>
      </w:pPr>
      <w:bookmarkStart w:id="45" w:name="_Toc73521645"/>
      <w:bookmarkStart w:id="46" w:name="_Toc73518127"/>
      <w:bookmarkStart w:id="47" w:name="_Toc73517649"/>
      <w:bookmarkStart w:id="48" w:name="_Toc100052374"/>
      <w:bookmarkStart w:id="49" w:name="_Toc73521557"/>
      <w:r>
        <w:rPr>
          <w:rFonts w:eastAsia="黑体"/>
          <w:color w:val="000000" w:themeColor="text1"/>
          <w:sz w:val="24"/>
          <w14:textFill>
            <w14:solidFill>
              <w14:schemeClr w14:val="tx1"/>
            </w14:solidFill>
          </w14:textFill>
        </w:rPr>
        <w:t>8．招标文件的编制与组成</w:t>
      </w:r>
      <w:bookmarkEnd w:id="45"/>
      <w:bookmarkEnd w:id="46"/>
      <w:bookmarkEnd w:id="47"/>
      <w:bookmarkEnd w:id="48"/>
      <w:bookmarkEnd w:id="49"/>
    </w:p>
    <w:p>
      <w:pPr>
        <w:snapToGrid w:val="0"/>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8.1招标文件除以下内容外，</w:t>
      </w:r>
      <w:r>
        <w:rPr>
          <w:rFonts w:hint="eastAsia"/>
          <w:color w:val="000000" w:themeColor="text1"/>
          <w:szCs w:val="21"/>
          <w14:textFill>
            <w14:solidFill>
              <w14:schemeClr w14:val="tx1"/>
            </w14:solidFill>
          </w14:textFill>
        </w:rPr>
        <w:t>招标方</w:t>
      </w:r>
      <w:r>
        <w:rPr>
          <w:color w:val="000000" w:themeColor="text1"/>
          <w:szCs w:val="21"/>
          <w14:textFill>
            <w14:solidFill>
              <w14:schemeClr w14:val="tx1"/>
            </w14:solidFill>
          </w14:textFill>
        </w:rPr>
        <w:t>在招标（或谈判）期间发出的答疑纪要和其他补充修改函件，均是招标文件的组成部分，对投标人起约束作用；</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招标文件包括下列内容：</w:t>
      </w:r>
    </w:p>
    <w:p>
      <w:pPr>
        <w:ind w:left="420" w:leftChars="200" w:firstLine="413" w:firstLineChars="196"/>
        <w:jc w:val="left"/>
        <w:rPr>
          <w:b/>
          <w:color w:val="000000" w:themeColor="text1"/>
          <w:szCs w:val="21"/>
          <w14:textFill>
            <w14:solidFill>
              <w14:schemeClr w14:val="tx1"/>
            </w14:solidFill>
          </w14:textFill>
        </w:rPr>
      </w:pPr>
      <w:r>
        <w:rPr>
          <w:b/>
          <w:color w:val="000000" w:themeColor="text1"/>
          <w:szCs w:val="21"/>
          <w14:textFill>
            <w14:solidFill>
              <w14:schemeClr w14:val="tx1"/>
            </w14:solidFill>
          </w14:textFill>
        </w:rPr>
        <w:t>第一部分</w:t>
      </w:r>
      <w:r>
        <w:rPr>
          <w:rFonts w:hint="eastAsia"/>
          <w:b/>
          <w:color w:val="000000" w:themeColor="text1"/>
          <w:szCs w:val="21"/>
          <w14:textFill>
            <w14:solidFill>
              <w14:schemeClr w14:val="tx1"/>
            </w14:solidFill>
          </w14:textFill>
        </w:rPr>
        <w:t xml:space="preserve"> </w:t>
      </w:r>
      <w:r>
        <w:rPr>
          <w:b/>
          <w:color w:val="000000" w:themeColor="text1"/>
          <w:szCs w:val="21"/>
          <w14:textFill>
            <w14:solidFill>
              <w14:schemeClr w14:val="tx1"/>
            </w14:solidFill>
          </w14:textFill>
        </w:rPr>
        <w:t>投标须知</w:t>
      </w:r>
    </w:p>
    <w:p>
      <w:pPr>
        <w:numPr>
          <w:ilvl w:val="1"/>
          <w:numId w:val="0"/>
        </w:numPr>
        <w:tabs>
          <w:tab w:val="left" w:pos="360"/>
        </w:tabs>
        <w:ind w:firstLine="1079" w:firstLineChars="514"/>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第一章</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总则</w:t>
      </w:r>
    </w:p>
    <w:p>
      <w:pPr>
        <w:numPr>
          <w:ilvl w:val="1"/>
          <w:numId w:val="0"/>
        </w:numPr>
        <w:tabs>
          <w:tab w:val="left" w:pos="360"/>
        </w:tabs>
        <w:ind w:firstLine="1079" w:firstLineChars="514"/>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第二章</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招标文件</w:t>
      </w:r>
    </w:p>
    <w:p>
      <w:pPr>
        <w:numPr>
          <w:ilvl w:val="1"/>
          <w:numId w:val="0"/>
        </w:numPr>
        <w:tabs>
          <w:tab w:val="left" w:pos="360"/>
        </w:tabs>
        <w:ind w:firstLine="1079" w:firstLineChars="514"/>
        <w:rPr>
          <w:color w:val="000000" w:themeColor="text1"/>
          <w:szCs w:val="21"/>
          <w14:textFill>
            <w14:solidFill>
              <w14:schemeClr w14:val="tx1"/>
            </w14:solidFill>
          </w14:textFill>
        </w:rPr>
      </w:pPr>
      <w:r>
        <w:rPr>
          <w:color w:val="000000" w:themeColor="text1"/>
          <w:szCs w:val="21"/>
          <w14:textFill>
            <w14:solidFill>
              <w14:schemeClr w14:val="tx1"/>
            </w14:solidFill>
          </w14:textFill>
        </w:rPr>
        <w:t>第三章</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投标文件的编制</w:t>
      </w:r>
    </w:p>
    <w:p>
      <w:pPr>
        <w:numPr>
          <w:ilvl w:val="1"/>
          <w:numId w:val="0"/>
        </w:numPr>
        <w:tabs>
          <w:tab w:val="left" w:pos="360"/>
        </w:tabs>
        <w:ind w:firstLine="1079" w:firstLineChars="514"/>
        <w:rPr>
          <w:color w:val="000000" w:themeColor="text1"/>
          <w:szCs w:val="21"/>
          <w14:textFill>
            <w14:solidFill>
              <w14:schemeClr w14:val="tx1"/>
            </w14:solidFill>
          </w14:textFill>
        </w:rPr>
      </w:pPr>
      <w:r>
        <w:rPr>
          <w:color w:val="000000" w:themeColor="text1"/>
          <w:szCs w:val="21"/>
          <w14:textFill>
            <w14:solidFill>
              <w14:schemeClr w14:val="tx1"/>
            </w14:solidFill>
          </w14:textFill>
        </w:rPr>
        <w:t>第四章</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投标文件的递交</w:t>
      </w:r>
    </w:p>
    <w:p>
      <w:pPr>
        <w:numPr>
          <w:ilvl w:val="1"/>
          <w:numId w:val="0"/>
        </w:numPr>
        <w:tabs>
          <w:tab w:val="left" w:pos="360"/>
        </w:tabs>
        <w:ind w:firstLine="1079" w:firstLineChars="514"/>
        <w:rPr>
          <w:color w:val="000000" w:themeColor="text1"/>
          <w:szCs w:val="21"/>
          <w14:textFill>
            <w14:solidFill>
              <w14:schemeClr w14:val="tx1"/>
            </w14:solidFill>
          </w14:textFill>
        </w:rPr>
      </w:pPr>
      <w:r>
        <w:rPr>
          <w:color w:val="000000" w:themeColor="text1"/>
          <w:szCs w:val="21"/>
          <w14:textFill>
            <w14:solidFill>
              <w14:schemeClr w14:val="tx1"/>
            </w14:solidFill>
          </w14:textFill>
        </w:rPr>
        <w:t>第五章</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开标</w:t>
      </w:r>
    </w:p>
    <w:p>
      <w:pPr>
        <w:numPr>
          <w:ilvl w:val="1"/>
          <w:numId w:val="0"/>
        </w:numPr>
        <w:tabs>
          <w:tab w:val="left" w:pos="360"/>
        </w:tabs>
        <w:ind w:firstLine="1079" w:firstLineChars="514"/>
        <w:rPr>
          <w:color w:val="000000" w:themeColor="text1"/>
          <w:szCs w:val="21"/>
          <w14:textFill>
            <w14:solidFill>
              <w14:schemeClr w14:val="tx1"/>
            </w14:solidFill>
          </w14:textFill>
        </w:rPr>
      </w:pPr>
      <w:r>
        <w:rPr>
          <w:color w:val="000000" w:themeColor="text1"/>
          <w:szCs w:val="21"/>
          <w14:textFill>
            <w14:solidFill>
              <w14:schemeClr w14:val="tx1"/>
            </w14:solidFill>
          </w14:textFill>
        </w:rPr>
        <w:t>第六章</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评标要求</w:t>
      </w:r>
    </w:p>
    <w:p>
      <w:pPr>
        <w:numPr>
          <w:ilvl w:val="1"/>
          <w:numId w:val="0"/>
        </w:numPr>
        <w:tabs>
          <w:tab w:val="left" w:pos="360"/>
        </w:tabs>
        <w:ind w:firstLine="1079" w:firstLineChars="514"/>
        <w:rPr>
          <w:color w:val="000000" w:themeColor="text1"/>
          <w:szCs w:val="21"/>
          <w14:textFill>
            <w14:solidFill>
              <w14:schemeClr w14:val="tx1"/>
            </w14:solidFill>
          </w14:textFill>
        </w:rPr>
      </w:pPr>
      <w:r>
        <w:rPr>
          <w:color w:val="000000" w:themeColor="text1"/>
          <w:szCs w:val="21"/>
          <w14:textFill>
            <w14:solidFill>
              <w14:schemeClr w14:val="tx1"/>
            </w14:solidFill>
          </w14:textFill>
        </w:rPr>
        <w:t>第七章</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评标程序及评标方法</w:t>
      </w:r>
    </w:p>
    <w:p>
      <w:pPr>
        <w:numPr>
          <w:ilvl w:val="1"/>
          <w:numId w:val="0"/>
        </w:numPr>
        <w:tabs>
          <w:tab w:val="left" w:pos="360"/>
        </w:tabs>
        <w:ind w:firstLine="1079" w:firstLineChars="514"/>
        <w:rPr>
          <w:color w:val="000000" w:themeColor="text1"/>
          <w:szCs w:val="21"/>
          <w14:textFill>
            <w14:solidFill>
              <w14:schemeClr w14:val="tx1"/>
            </w14:solidFill>
          </w14:textFill>
        </w:rPr>
      </w:pPr>
      <w:r>
        <w:rPr>
          <w:color w:val="000000" w:themeColor="text1"/>
          <w:szCs w:val="21"/>
          <w14:textFill>
            <w14:solidFill>
              <w14:schemeClr w14:val="tx1"/>
            </w14:solidFill>
          </w14:textFill>
        </w:rPr>
        <w:t>第八章</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公开招标失败的后续处理</w:t>
      </w:r>
    </w:p>
    <w:p>
      <w:pPr>
        <w:numPr>
          <w:ilvl w:val="1"/>
          <w:numId w:val="0"/>
        </w:numPr>
        <w:tabs>
          <w:tab w:val="left" w:pos="360"/>
        </w:tabs>
        <w:ind w:firstLine="1079" w:firstLineChars="514"/>
        <w:rPr>
          <w:color w:val="000000" w:themeColor="text1"/>
          <w:szCs w:val="21"/>
          <w14:textFill>
            <w14:solidFill>
              <w14:schemeClr w14:val="tx1"/>
            </w14:solidFill>
          </w14:textFill>
        </w:rPr>
      </w:pPr>
      <w:r>
        <w:rPr>
          <w:color w:val="000000" w:themeColor="text1"/>
          <w:szCs w:val="21"/>
          <w14:textFill>
            <w14:solidFill>
              <w14:schemeClr w14:val="tx1"/>
            </w14:solidFill>
          </w14:textFill>
        </w:rPr>
        <w:t>第九章</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合同的授予</w:t>
      </w:r>
    </w:p>
    <w:p>
      <w:pPr>
        <w:ind w:left="420" w:leftChars="200" w:firstLine="413" w:firstLineChars="196"/>
        <w:rPr>
          <w:b/>
          <w:color w:val="000000" w:themeColor="text1"/>
          <w:szCs w:val="21"/>
          <w14:textFill>
            <w14:solidFill>
              <w14:schemeClr w14:val="tx1"/>
            </w14:solidFill>
          </w14:textFill>
        </w:rPr>
      </w:pPr>
      <w:r>
        <w:rPr>
          <w:b/>
          <w:color w:val="000000" w:themeColor="text1"/>
          <w:szCs w:val="21"/>
          <w14:textFill>
            <w14:solidFill>
              <w14:schemeClr w14:val="tx1"/>
            </w14:solidFill>
          </w14:textFill>
        </w:rPr>
        <w:t>第二部分</w:t>
      </w:r>
      <w:r>
        <w:rPr>
          <w:rFonts w:hint="eastAsia"/>
          <w:b/>
          <w:color w:val="000000" w:themeColor="text1"/>
          <w:szCs w:val="21"/>
          <w14:textFill>
            <w14:solidFill>
              <w14:schemeClr w14:val="tx1"/>
            </w14:solidFill>
          </w14:textFill>
        </w:rPr>
        <w:t xml:space="preserve"> </w:t>
      </w:r>
      <w:r>
        <w:rPr>
          <w:b/>
          <w:color w:val="000000" w:themeColor="text1"/>
          <w:szCs w:val="21"/>
          <w14:textFill>
            <w14:solidFill>
              <w14:schemeClr w14:val="tx1"/>
            </w14:solidFill>
          </w14:textFill>
        </w:rPr>
        <w:t>招标项目要求</w:t>
      </w:r>
    </w:p>
    <w:p>
      <w:pPr>
        <w:ind w:left="630" w:leftChars="300"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第一章</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招标公告</w:t>
      </w:r>
    </w:p>
    <w:p>
      <w:pPr>
        <w:ind w:left="630" w:leftChars="300"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第二章</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项目需求</w:t>
      </w:r>
    </w:p>
    <w:p>
      <w:pPr>
        <w:ind w:left="420" w:leftChars="200" w:firstLine="413" w:firstLineChars="196"/>
        <w:rPr>
          <w:b/>
          <w:color w:val="000000" w:themeColor="text1"/>
          <w:szCs w:val="21"/>
          <w14:textFill>
            <w14:solidFill>
              <w14:schemeClr w14:val="tx1"/>
            </w14:solidFill>
          </w14:textFill>
        </w:rPr>
      </w:pPr>
      <w:r>
        <w:rPr>
          <w:b/>
          <w:color w:val="000000" w:themeColor="text1"/>
          <w:szCs w:val="21"/>
          <w14:textFill>
            <w14:solidFill>
              <w14:schemeClr w14:val="tx1"/>
            </w14:solidFill>
          </w14:textFill>
        </w:rPr>
        <w:t>第三部分</w:t>
      </w:r>
      <w:r>
        <w:rPr>
          <w:rFonts w:hint="eastAsia"/>
          <w:b/>
          <w:color w:val="000000" w:themeColor="text1"/>
          <w:szCs w:val="21"/>
          <w14:textFill>
            <w14:solidFill>
              <w14:schemeClr w14:val="tx1"/>
            </w14:solidFill>
          </w14:textFill>
        </w:rPr>
        <w:t xml:space="preserve"> </w:t>
      </w:r>
      <w:r>
        <w:rPr>
          <w:b/>
          <w:color w:val="000000" w:themeColor="text1"/>
          <w:szCs w:val="21"/>
          <w14:textFill>
            <w14:solidFill>
              <w14:schemeClr w14:val="tx1"/>
            </w14:solidFill>
          </w14:textFill>
        </w:rPr>
        <w:t>格式及附件</w:t>
      </w:r>
    </w:p>
    <w:p>
      <w:pPr>
        <w:ind w:left="630" w:leftChars="300"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第一章</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合同条款及格式</w:t>
      </w:r>
    </w:p>
    <w:p>
      <w:pPr>
        <w:ind w:left="630" w:leftChars="300"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第二章</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投标文件格式、附件</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8.2投标人获得招标文件后，应仔细检查招标文件的所有内容，如有残缺应在投标答疑截止时间之前向</w:t>
      </w:r>
      <w:r>
        <w:rPr>
          <w:rFonts w:hint="eastAsia"/>
          <w:color w:val="000000" w:themeColor="text1"/>
          <w:szCs w:val="21"/>
          <w14:textFill>
            <w14:solidFill>
              <w14:schemeClr w14:val="tx1"/>
            </w14:solidFill>
          </w14:textFill>
        </w:rPr>
        <w:t>招标方</w:t>
      </w:r>
      <w:r>
        <w:rPr>
          <w:color w:val="000000" w:themeColor="text1"/>
          <w:szCs w:val="21"/>
          <w14:textFill>
            <w14:solidFill>
              <w14:schemeClr w14:val="tx1"/>
            </w14:solidFill>
          </w14:textFill>
        </w:rPr>
        <w:t>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8.3</w:t>
      </w:r>
      <w:r>
        <w:rPr>
          <w:color w:val="000000" w:themeColor="text1"/>
          <w14:textFill>
            <w14:solidFill>
              <w14:schemeClr w14:val="tx1"/>
            </w14:solidFill>
          </w14:textFill>
        </w:rPr>
        <w:t>任何人或任何组织向投标人提交的任何书面或口头资料，未经</w:t>
      </w:r>
      <w:r>
        <w:rPr>
          <w:rFonts w:hint="eastAsia"/>
          <w:color w:val="000000" w:themeColor="text1"/>
          <w14:textFill>
            <w14:solidFill>
              <w14:schemeClr w14:val="tx1"/>
            </w14:solidFill>
          </w14:textFill>
        </w:rPr>
        <w:t>招标方</w:t>
      </w:r>
      <w:r>
        <w:rPr>
          <w:color w:val="000000" w:themeColor="text1"/>
          <w14:textFill>
            <w14:solidFill>
              <w14:schemeClr w14:val="tx1"/>
            </w14:solidFill>
          </w14:textFill>
        </w:rPr>
        <w:t>在网上发布或书面通知，均作无效处理，不得作为招标文件的组成部分。</w:t>
      </w:r>
      <w:r>
        <w:rPr>
          <w:rFonts w:hint="eastAsia"/>
          <w:color w:val="000000" w:themeColor="text1"/>
          <w14:textFill>
            <w14:solidFill>
              <w14:schemeClr w14:val="tx1"/>
            </w14:solidFill>
          </w14:textFill>
        </w:rPr>
        <w:t>招标方</w:t>
      </w:r>
      <w:r>
        <w:rPr>
          <w:color w:val="000000" w:themeColor="text1"/>
          <w14:textFill>
            <w14:solidFill>
              <w14:schemeClr w14:val="tx1"/>
            </w14:solidFill>
          </w14:textFill>
        </w:rPr>
        <w:t>对投标人由此而做出的推论、理解和结论概不负责。</w:t>
      </w:r>
    </w:p>
    <w:p>
      <w:pPr>
        <w:spacing w:line="360" w:lineRule="auto"/>
        <w:rPr>
          <w:rFonts w:eastAsia="黑体"/>
          <w:color w:val="000000" w:themeColor="text1"/>
          <w:sz w:val="24"/>
          <w14:textFill>
            <w14:solidFill>
              <w14:schemeClr w14:val="tx1"/>
            </w14:solidFill>
          </w14:textFill>
        </w:rPr>
      </w:pPr>
      <w:bookmarkStart w:id="50" w:name="_Toc73517650"/>
      <w:bookmarkStart w:id="51" w:name="_Toc60560636"/>
      <w:bookmarkStart w:id="52" w:name="_Toc73521558"/>
      <w:bookmarkStart w:id="53" w:name="_Toc73518128"/>
      <w:bookmarkStart w:id="54" w:name="_Toc73521646"/>
      <w:bookmarkStart w:id="55" w:name="_Toc60631631"/>
      <w:bookmarkStart w:id="56" w:name="_Toc100052375"/>
      <w:bookmarkStart w:id="57" w:name="_Toc60560637"/>
      <w:bookmarkStart w:id="58" w:name="_Toc73518129"/>
      <w:bookmarkStart w:id="59" w:name="_Toc60631632"/>
      <w:bookmarkStart w:id="60" w:name="_Toc73517651"/>
      <w:bookmarkStart w:id="61" w:name="_Toc73521559"/>
      <w:bookmarkStart w:id="62" w:name="_Toc100052376"/>
      <w:bookmarkStart w:id="63" w:name="_Toc73521647"/>
      <w:r>
        <w:rPr>
          <w:rFonts w:eastAsia="黑体"/>
          <w:color w:val="000000" w:themeColor="text1"/>
          <w:sz w:val="24"/>
          <w14:textFill>
            <w14:solidFill>
              <w14:schemeClr w14:val="tx1"/>
            </w14:solidFill>
          </w14:textFill>
        </w:rPr>
        <w:t>9．招标文件的澄清</w:t>
      </w:r>
      <w:bookmarkEnd w:id="50"/>
      <w:bookmarkEnd w:id="51"/>
      <w:bookmarkEnd w:id="52"/>
      <w:bookmarkEnd w:id="53"/>
      <w:bookmarkEnd w:id="54"/>
      <w:bookmarkEnd w:id="55"/>
      <w:bookmarkEnd w:id="56"/>
    </w:p>
    <w:p>
      <w:pPr>
        <w:snapToGrid w:val="0"/>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9.1  任何要求对招标文件进行澄清的投标人，均应于“招标公告”中所述答疑截止时间前通知</w:t>
      </w:r>
      <w:r>
        <w:rPr>
          <w:rFonts w:hint="eastAsia"/>
          <w:color w:val="000000" w:themeColor="text1"/>
          <w:szCs w:val="21"/>
          <w14:textFill>
            <w14:solidFill>
              <w14:schemeClr w14:val="tx1"/>
            </w14:solidFill>
          </w14:textFill>
        </w:rPr>
        <w:t>招标方</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招标方</w:t>
      </w:r>
      <w:r>
        <w:rPr>
          <w:color w:val="000000" w:themeColor="text1"/>
          <w:szCs w:val="21"/>
          <w14:textFill>
            <w14:solidFill>
              <w14:schemeClr w14:val="tx1"/>
            </w14:solidFill>
          </w14:textFill>
        </w:rPr>
        <w:t>对规定时间内收到的对招标文件的澄清，视情况予以答复。具体答疑方式请见本招标文件第二部分第一章之规定。</w:t>
      </w:r>
    </w:p>
    <w:p>
      <w:pPr>
        <w:snapToGrid w:val="0"/>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9.2  投标供应商若认为招标文件的技术要求有倾向性或不公正性，可在招标答疑阶段提出，以维护招标行为的公平、公正。</w:t>
      </w:r>
    </w:p>
    <w:p>
      <w:pPr>
        <w:snapToGrid w:val="0"/>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9.3  对于没有提出澄清又参与了该项目投标的供应商将被视为完全认同该招标文件，投标截止期后不再受理针对招标文件的相关投诉。</w:t>
      </w:r>
    </w:p>
    <w:p>
      <w:pPr>
        <w:snapToGrid w:val="0"/>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9.4  对采购文件中描述有歧意或前后不一致的地方，评标委员会有权进行评判，但对同一条款的评判应适用于每个投标人。</w:t>
      </w:r>
    </w:p>
    <w:p>
      <w:pPr>
        <w:spacing w:line="360" w:lineRule="auto"/>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10．招标文件的修改</w:t>
      </w:r>
      <w:bookmarkEnd w:id="57"/>
      <w:bookmarkEnd w:id="58"/>
      <w:bookmarkEnd w:id="59"/>
      <w:bookmarkEnd w:id="60"/>
      <w:bookmarkEnd w:id="61"/>
      <w:bookmarkEnd w:id="62"/>
      <w:bookmarkEnd w:id="63"/>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10.1 招标文件发出后，在投标截止日期前任何时候，确需要变更招标内容的，</w:t>
      </w:r>
      <w:r>
        <w:rPr>
          <w:rFonts w:hint="eastAsia"/>
          <w:color w:val="000000" w:themeColor="text1"/>
          <w:szCs w:val="21"/>
          <w14:textFill>
            <w14:solidFill>
              <w14:schemeClr w14:val="tx1"/>
            </w14:solidFill>
          </w14:textFill>
        </w:rPr>
        <w:t>招标方</w:t>
      </w:r>
      <w:r>
        <w:rPr>
          <w:color w:val="000000" w:themeColor="text1"/>
          <w:szCs w:val="21"/>
          <w14:textFill>
            <w14:solidFill>
              <w14:schemeClr w14:val="tx1"/>
            </w14:solidFill>
          </w14:textFill>
        </w:rPr>
        <w:t>可主动地或在解答投标人提出的澄清问题时对招标文件进行修改；</w:t>
      </w:r>
    </w:p>
    <w:p>
      <w:pPr>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10.2 招标文件的修改均在</w:t>
      </w:r>
      <w:r>
        <w:rPr>
          <w:rFonts w:hint="eastAsia"/>
          <w:color w:val="000000" w:themeColor="text1"/>
          <w:szCs w:val="21"/>
          <w14:textFill>
            <w14:solidFill>
              <w14:schemeClr w14:val="tx1"/>
            </w14:solidFill>
          </w14:textFill>
        </w:rPr>
        <w:t>哈尔滨工业大学（深圳）官网（</w:t>
      </w:r>
      <w:r>
        <w:rPr>
          <w:color w:val="000000" w:themeColor="text1"/>
          <w:szCs w:val="21"/>
          <w14:textFill>
            <w14:solidFill>
              <w14:schemeClr w14:val="tx1"/>
            </w14:solidFill>
          </w14:textFill>
        </w:rPr>
        <w:t>http://www.hitsz.edu.cn/</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以网上公告形式发布，并对投标人具有约束力，在项目开标前，投标人有义务上网查看，公告一经上网发布，即视为送达。</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10.3 招标文件、招标文件澄清（答疑）纪要、招标文件修改补充通知内容均以书面明确的内容为准。当招标文件、修改补充通知、澄清（答疑）纪要内容相互矛盾时，以最后发出的通知（或纪要）或修改文件为准；</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10.4</w:t>
      </w:r>
      <w:r>
        <w:rPr>
          <w:rFonts w:hint="eastAsia"/>
          <w:color w:val="000000" w:themeColor="text1"/>
          <w:szCs w:val="21"/>
          <w14:textFill>
            <w14:solidFill>
              <w14:schemeClr w14:val="tx1"/>
            </w14:solidFill>
          </w14:textFill>
        </w:rPr>
        <w:t xml:space="preserve"> 招标方</w:t>
      </w:r>
      <w:r>
        <w:rPr>
          <w:color w:val="000000" w:themeColor="text1"/>
          <w:szCs w:val="21"/>
          <w14:textFill>
            <w14:solidFill>
              <w14:schemeClr w14:val="tx1"/>
            </w14:solidFill>
          </w14:textFill>
        </w:rPr>
        <w:t>保证招标文件澄清（答疑）纪要和招标文件修改补充通知在投标截止时间前以网站公开发布形式或书面形式发送给所有投标人。为使投标人在编写投标文件时有充分时间对招标文件的修改部分进行研究，可以酌情延长递交投标文件的截止日期，具体时间将在修改补充通知中明确。</w:t>
      </w:r>
    </w:p>
    <w:p>
      <w:pPr>
        <w:pStyle w:val="4"/>
        <w:numPr>
          <w:ilvl w:val="0"/>
          <w:numId w:val="1"/>
        </w:numPr>
        <w:adjustRightInd w:val="0"/>
        <w:spacing w:before="156" w:beforeLines="50" w:after="156" w:afterLines="50" w:line="240" w:lineRule="auto"/>
        <w:jc w:val="center"/>
        <w:textAlignment w:val="baseline"/>
        <w:rPr>
          <w:rFonts w:ascii="Times New Roman" w:hAnsi="Times New Roman"/>
          <w:color w:val="000000" w:themeColor="text1"/>
          <w:sz w:val="28"/>
          <w:szCs w:val="28"/>
          <w14:textFill>
            <w14:solidFill>
              <w14:schemeClr w14:val="tx1"/>
            </w14:solidFill>
          </w14:textFill>
        </w:rPr>
      </w:pPr>
      <w:bookmarkStart w:id="64" w:name="bt投标文件"/>
      <w:bookmarkEnd w:id="64"/>
      <w:bookmarkStart w:id="65" w:name="_Toc73521560"/>
      <w:bookmarkStart w:id="66" w:name="_Toc100052377"/>
      <w:bookmarkStart w:id="67" w:name="_Toc101074879"/>
      <w:bookmarkStart w:id="68" w:name="_Toc73518130"/>
      <w:bookmarkStart w:id="69" w:name="_Toc73517652"/>
      <w:bookmarkStart w:id="70" w:name="_Toc73521648"/>
      <w:r>
        <w:rPr>
          <w:rFonts w:ascii="Times New Roman" w:hAnsi="Times New Roman"/>
          <w:color w:val="000000" w:themeColor="text1"/>
          <w:sz w:val="28"/>
          <w:szCs w:val="28"/>
          <w14:textFill>
            <w14:solidFill>
              <w14:schemeClr w14:val="tx1"/>
            </w14:solidFill>
          </w14:textFill>
        </w:rPr>
        <w:t>投标文件</w:t>
      </w:r>
      <w:bookmarkEnd w:id="65"/>
      <w:bookmarkEnd w:id="66"/>
      <w:bookmarkEnd w:id="67"/>
      <w:bookmarkEnd w:id="68"/>
      <w:bookmarkEnd w:id="69"/>
      <w:bookmarkEnd w:id="70"/>
      <w:r>
        <w:rPr>
          <w:rFonts w:ascii="Times New Roman" w:hAnsi="Times New Roman"/>
          <w:color w:val="000000" w:themeColor="text1"/>
          <w:sz w:val="28"/>
          <w:szCs w:val="28"/>
          <w14:textFill>
            <w14:solidFill>
              <w14:schemeClr w14:val="tx1"/>
            </w14:solidFill>
          </w14:textFill>
        </w:rPr>
        <w:t>的编制</w:t>
      </w:r>
    </w:p>
    <w:p>
      <w:pPr>
        <w:spacing w:line="360" w:lineRule="auto"/>
        <w:rPr>
          <w:rFonts w:eastAsia="黑体"/>
          <w:color w:val="000000" w:themeColor="text1"/>
          <w:sz w:val="24"/>
          <w14:textFill>
            <w14:solidFill>
              <w14:schemeClr w14:val="tx1"/>
            </w14:solidFill>
          </w14:textFill>
        </w:rPr>
      </w:pPr>
      <w:bookmarkStart w:id="71" w:name="_Toc100052378"/>
      <w:bookmarkStart w:id="72" w:name="_Toc73521649"/>
      <w:bookmarkStart w:id="73" w:name="_Toc60560639"/>
      <w:bookmarkStart w:id="74" w:name="_Toc73517653"/>
      <w:bookmarkStart w:id="75" w:name="_Toc60631634"/>
      <w:bookmarkStart w:id="76" w:name="_Toc73521561"/>
      <w:bookmarkStart w:id="77" w:name="_Toc73518131"/>
      <w:r>
        <w:rPr>
          <w:rFonts w:eastAsia="黑体"/>
          <w:color w:val="000000" w:themeColor="text1"/>
          <w:sz w:val="24"/>
          <w14:textFill>
            <w14:solidFill>
              <w14:schemeClr w14:val="tx1"/>
            </w14:solidFill>
          </w14:textFill>
        </w:rPr>
        <w:t>11．投标文件的语言及度量单位</w:t>
      </w:r>
      <w:bookmarkEnd w:id="71"/>
      <w:bookmarkEnd w:id="72"/>
      <w:bookmarkEnd w:id="73"/>
      <w:bookmarkEnd w:id="74"/>
      <w:bookmarkEnd w:id="75"/>
      <w:bookmarkEnd w:id="76"/>
      <w:bookmarkEnd w:id="77"/>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11.1 投标人与</w:t>
      </w:r>
      <w:r>
        <w:rPr>
          <w:rFonts w:hint="eastAsia"/>
          <w:color w:val="000000" w:themeColor="text1"/>
          <w:szCs w:val="21"/>
          <w14:textFill>
            <w14:solidFill>
              <w14:schemeClr w14:val="tx1"/>
            </w14:solidFill>
          </w14:textFill>
        </w:rPr>
        <w:t>招标方</w:t>
      </w:r>
      <w:r>
        <w:rPr>
          <w:color w:val="000000" w:themeColor="text1"/>
          <w:szCs w:val="21"/>
          <w14:textFill>
            <w14:solidFill>
              <w14:schemeClr w14:val="tx1"/>
            </w14:solidFill>
          </w14:textFill>
        </w:rPr>
        <w:t>之间与投标有关的所有往来通知、函件和投标文件均用中文表述。投标人随投标文件提供的证明文件和资料可以为其它语言，但必须附中文译文。在此，为了解释投标文件，应以中文为准；</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11.2 除技术规范另有规定外，投标文件使用的度量单位，均采用中华人民共和国法定计量单位。</w:t>
      </w:r>
    </w:p>
    <w:p>
      <w:pPr>
        <w:spacing w:line="360" w:lineRule="auto"/>
        <w:rPr>
          <w:rFonts w:eastAsia="黑体"/>
          <w:color w:val="000000" w:themeColor="text1"/>
          <w:sz w:val="24"/>
          <w14:textFill>
            <w14:solidFill>
              <w14:schemeClr w14:val="tx1"/>
            </w14:solidFill>
          </w14:textFill>
        </w:rPr>
      </w:pPr>
      <w:bookmarkStart w:id="78" w:name="_Toc73521562"/>
      <w:bookmarkStart w:id="79" w:name="_Toc73518132"/>
      <w:bookmarkStart w:id="80" w:name="_Toc73517654"/>
      <w:bookmarkStart w:id="81" w:name="_Toc73521650"/>
      <w:bookmarkStart w:id="82" w:name="_Toc100052379"/>
      <w:bookmarkStart w:id="83" w:name="_Toc60560640"/>
      <w:bookmarkStart w:id="84" w:name="_Toc60631635"/>
      <w:r>
        <w:rPr>
          <w:rFonts w:eastAsia="黑体"/>
          <w:color w:val="000000" w:themeColor="text1"/>
          <w:sz w:val="24"/>
          <w14:textFill>
            <w14:solidFill>
              <w14:schemeClr w14:val="tx1"/>
            </w14:solidFill>
          </w14:textFill>
        </w:rPr>
        <w:t>12．投标文件的组成</w:t>
      </w:r>
      <w:bookmarkEnd w:id="78"/>
      <w:bookmarkEnd w:id="79"/>
      <w:bookmarkEnd w:id="80"/>
      <w:bookmarkEnd w:id="81"/>
      <w:bookmarkEnd w:id="82"/>
      <w:bookmarkEnd w:id="83"/>
      <w:bookmarkEnd w:id="84"/>
    </w:p>
    <w:p>
      <w:pPr>
        <w:ind w:firstLine="413" w:firstLineChars="196"/>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（具体内容请详见第三部分的相关内容）</w:t>
      </w:r>
      <w:bookmarkStart w:id="85" w:name="投标文件的组成"/>
      <w:bookmarkStart w:id="86" w:name="_Toc73518133"/>
      <w:bookmarkStart w:id="87" w:name="_Toc73517655"/>
      <w:bookmarkStart w:id="88" w:name="_Toc73521563"/>
      <w:bookmarkStart w:id="89" w:name="_Toc73521651"/>
      <w:bookmarkStart w:id="90" w:name="_Toc60560641"/>
      <w:bookmarkStart w:id="91" w:name="_Toc60631636"/>
    </w:p>
    <w:bookmarkEnd w:id="85"/>
    <w:p>
      <w:pPr>
        <w:spacing w:line="360" w:lineRule="auto"/>
        <w:rPr>
          <w:rFonts w:eastAsia="黑体"/>
          <w:color w:val="000000" w:themeColor="text1"/>
          <w:sz w:val="24"/>
          <w14:textFill>
            <w14:solidFill>
              <w14:schemeClr w14:val="tx1"/>
            </w14:solidFill>
          </w14:textFill>
        </w:rPr>
      </w:pPr>
      <w:bookmarkStart w:id="92" w:name="_Toc100052380"/>
      <w:r>
        <w:rPr>
          <w:rFonts w:eastAsia="黑体"/>
          <w:color w:val="000000" w:themeColor="text1"/>
          <w:sz w:val="24"/>
          <w14:textFill>
            <w14:solidFill>
              <w14:schemeClr w14:val="tx1"/>
            </w14:solidFill>
          </w14:textFill>
        </w:rPr>
        <w:t>13．投标文件格式</w:t>
      </w:r>
      <w:bookmarkEnd w:id="86"/>
      <w:bookmarkEnd w:id="87"/>
      <w:bookmarkEnd w:id="88"/>
      <w:bookmarkEnd w:id="89"/>
      <w:bookmarkEnd w:id="90"/>
      <w:bookmarkEnd w:id="91"/>
      <w:bookmarkEnd w:id="92"/>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13.1 投标文件包括本须知第12条中规定的内容。如招标文件提供了投标文件格式，则</w:t>
      </w:r>
      <w:r>
        <w:rPr>
          <w:b/>
          <w:bCs/>
          <w:color w:val="000000" w:themeColor="text1"/>
          <w:szCs w:val="21"/>
          <w14:textFill>
            <w14:solidFill>
              <w14:schemeClr w14:val="tx1"/>
            </w14:solidFill>
          </w14:textFill>
        </w:rPr>
        <w:t>投标人提交的投标文件必须毫无例外地使用招标文件所提供的相应格式</w:t>
      </w:r>
      <w:r>
        <w:rPr>
          <w:color w:val="000000" w:themeColor="text1"/>
          <w:szCs w:val="21"/>
          <w14:textFill>
            <w14:solidFill>
              <w14:schemeClr w14:val="tx1"/>
            </w14:solidFill>
          </w14:textFill>
        </w:rPr>
        <w:t>（表格可以按同样格式扩展）。</w:t>
      </w:r>
      <w:bookmarkStart w:id="93" w:name="_Toc73521653"/>
      <w:bookmarkStart w:id="94" w:name="_Toc73521565"/>
      <w:bookmarkStart w:id="95" w:name="_Toc60560643"/>
      <w:bookmarkStart w:id="96" w:name="_Toc73517657"/>
      <w:bookmarkStart w:id="97" w:name="_Toc73518135"/>
      <w:bookmarkStart w:id="98" w:name="_Toc60631638"/>
    </w:p>
    <w:p>
      <w:pPr>
        <w:spacing w:line="360" w:lineRule="auto"/>
        <w:rPr>
          <w:rFonts w:eastAsia="黑体"/>
          <w:color w:val="000000" w:themeColor="text1"/>
          <w:sz w:val="24"/>
          <w14:textFill>
            <w14:solidFill>
              <w14:schemeClr w14:val="tx1"/>
            </w14:solidFill>
          </w14:textFill>
        </w:rPr>
      </w:pPr>
      <w:bookmarkStart w:id="99" w:name="_Toc100052382"/>
      <w:r>
        <w:rPr>
          <w:rFonts w:eastAsia="黑体"/>
          <w:color w:val="000000" w:themeColor="text1"/>
          <w:sz w:val="24"/>
          <w14:textFill>
            <w14:solidFill>
              <w14:schemeClr w14:val="tx1"/>
            </w14:solidFill>
          </w14:textFill>
        </w:rPr>
        <w:t>14．投标货币</w:t>
      </w:r>
      <w:bookmarkEnd w:id="93"/>
      <w:bookmarkEnd w:id="94"/>
      <w:bookmarkEnd w:id="95"/>
      <w:bookmarkEnd w:id="96"/>
      <w:bookmarkEnd w:id="97"/>
      <w:bookmarkEnd w:id="98"/>
      <w:bookmarkEnd w:id="99"/>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14.1 本项目的投标应以人民币计。</w:t>
      </w:r>
    </w:p>
    <w:p>
      <w:pPr>
        <w:spacing w:line="360" w:lineRule="auto"/>
        <w:rPr>
          <w:rFonts w:eastAsia="黑体"/>
          <w:color w:val="000000" w:themeColor="text1"/>
          <w:sz w:val="24"/>
          <w14:textFill>
            <w14:solidFill>
              <w14:schemeClr w14:val="tx1"/>
            </w14:solidFill>
          </w14:textFill>
        </w:rPr>
      </w:pPr>
      <w:bookmarkStart w:id="100" w:name="_Toc73521654"/>
      <w:bookmarkStart w:id="101" w:name="_Toc60560644"/>
      <w:bookmarkStart w:id="102" w:name="_Toc73521566"/>
      <w:bookmarkStart w:id="103" w:name="_Toc73518136"/>
      <w:bookmarkStart w:id="104" w:name="_Toc73517658"/>
      <w:bookmarkStart w:id="105" w:name="_Toc60631639"/>
      <w:bookmarkStart w:id="106" w:name="_Toc100052383"/>
      <w:r>
        <w:rPr>
          <w:rFonts w:eastAsia="黑体"/>
          <w:color w:val="000000" w:themeColor="text1"/>
          <w:sz w:val="24"/>
          <w14:textFill>
            <w14:solidFill>
              <w14:schemeClr w14:val="tx1"/>
            </w14:solidFill>
          </w14:textFill>
        </w:rPr>
        <w:t>15．投标有效期</w:t>
      </w:r>
      <w:bookmarkEnd w:id="100"/>
      <w:bookmarkEnd w:id="101"/>
      <w:bookmarkEnd w:id="102"/>
      <w:bookmarkEnd w:id="103"/>
      <w:bookmarkEnd w:id="104"/>
      <w:bookmarkEnd w:id="105"/>
      <w:bookmarkEnd w:id="106"/>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15.1 投标有效期为从投标截止之日算起</w:t>
      </w:r>
      <w:r>
        <w:rPr>
          <w:rFonts w:hint="eastAsia"/>
          <w:color w:val="000000" w:themeColor="text1"/>
          <w:szCs w:val="21"/>
          <w:u w:val="single"/>
          <w14:textFill>
            <w14:solidFill>
              <w14:schemeClr w14:val="tx1"/>
            </w14:solidFill>
          </w14:textFill>
        </w:rPr>
        <w:t>9</w:t>
      </w:r>
      <w:r>
        <w:rPr>
          <w:color w:val="000000" w:themeColor="text1"/>
          <w:szCs w:val="21"/>
          <w:u w:val="single"/>
          <w14:textFill>
            <w14:solidFill>
              <w14:schemeClr w14:val="tx1"/>
            </w14:solidFill>
          </w14:textFill>
        </w:rPr>
        <w:t>0</w:t>
      </w:r>
      <w:r>
        <w:rPr>
          <w:color w:val="000000" w:themeColor="text1"/>
          <w:szCs w:val="21"/>
          <w14:textFill>
            <w14:solidFill>
              <w14:schemeClr w14:val="tx1"/>
            </w14:solidFill>
          </w14:textFill>
        </w:rPr>
        <w:t>个日历天，在此期限内，所有投标文件均保持有效；</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15.2 在特殊的情况下，</w:t>
      </w:r>
      <w:r>
        <w:rPr>
          <w:rFonts w:hint="eastAsia"/>
          <w:color w:val="000000" w:themeColor="text1"/>
          <w:szCs w:val="21"/>
          <w14:textFill>
            <w14:solidFill>
              <w14:schemeClr w14:val="tx1"/>
            </w14:solidFill>
          </w14:textFill>
        </w:rPr>
        <w:t>招标方</w:t>
      </w:r>
      <w:r>
        <w:rPr>
          <w:color w:val="000000" w:themeColor="text1"/>
          <w:szCs w:val="21"/>
          <w14:textFill>
            <w14:solidFill>
              <w14:schemeClr w14:val="tx1"/>
            </w14:solidFill>
          </w14:textFill>
        </w:rPr>
        <w:t>在原定的投标有效期满之前，</w:t>
      </w:r>
      <w:r>
        <w:rPr>
          <w:rFonts w:hint="eastAsia"/>
          <w:color w:val="000000" w:themeColor="text1"/>
          <w:szCs w:val="21"/>
          <w14:textFill>
            <w14:solidFill>
              <w14:schemeClr w14:val="tx1"/>
            </w14:solidFill>
          </w14:textFill>
        </w:rPr>
        <w:t>招标方</w:t>
      </w:r>
      <w:r>
        <w:rPr>
          <w:color w:val="000000" w:themeColor="text1"/>
          <w:szCs w:val="21"/>
          <w14:textFill>
            <w14:solidFill>
              <w14:schemeClr w14:val="tx1"/>
            </w14:solidFill>
          </w14:textFill>
        </w:rPr>
        <w:t>可以根据需要以书面形式向投标人提出延长投标有效期的要求，对此要求投标人须以书面形式予以答复，投标人可以拒绝</w:t>
      </w:r>
      <w:r>
        <w:rPr>
          <w:rFonts w:hint="eastAsia"/>
          <w:color w:val="000000" w:themeColor="text1"/>
          <w:szCs w:val="21"/>
          <w14:textFill>
            <w14:solidFill>
              <w14:schemeClr w14:val="tx1"/>
            </w14:solidFill>
          </w14:textFill>
        </w:rPr>
        <w:t>招标方</w:t>
      </w:r>
      <w:r>
        <w:rPr>
          <w:color w:val="000000" w:themeColor="text1"/>
          <w:szCs w:val="21"/>
          <w14:textFill>
            <w14:solidFill>
              <w14:schemeClr w14:val="tx1"/>
            </w14:solidFill>
          </w14:textFill>
        </w:rPr>
        <w:t>此项要求，而不</w:t>
      </w:r>
      <w:r>
        <w:rPr>
          <w:rFonts w:hint="eastAsia"/>
          <w:color w:val="000000" w:themeColor="text1"/>
          <w:szCs w:val="21"/>
          <w14:textFill>
            <w14:solidFill>
              <w14:schemeClr w14:val="tx1"/>
            </w14:solidFill>
          </w14:textFill>
        </w:rPr>
        <w:t>承担其他任何责任</w:t>
      </w:r>
      <w:r>
        <w:rPr>
          <w:color w:val="000000" w:themeColor="text1"/>
          <w:szCs w:val="21"/>
          <w14:textFill>
            <w14:solidFill>
              <w14:schemeClr w14:val="tx1"/>
            </w14:solidFill>
          </w14:textFill>
        </w:rPr>
        <w:t>，其投标在原投标有效期满后不再有效。同意延长投标有效期的投标人不能要求也不允许修改其投标文件，但需要相应的延长投标担保的有效期；</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15.3 中标单位的投标书有效期，截止于完成本招标文件规定的全部项目内容，并通过竣工验收及保修结束。</w:t>
      </w:r>
    </w:p>
    <w:p>
      <w:pPr>
        <w:spacing w:line="360" w:lineRule="auto"/>
        <w:rPr>
          <w:rFonts w:eastAsia="黑体"/>
          <w:color w:val="000000" w:themeColor="text1"/>
          <w:sz w:val="24"/>
          <w14:textFill>
            <w14:solidFill>
              <w14:schemeClr w14:val="tx1"/>
            </w14:solidFill>
          </w14:textFill>
        </w:rPr>
      </w:pPr>
      <w:bookmarkStart w:id="107" w:name="_Toc100052385"/>
      <w:bookmarkStart w:id="108" w:name="_Toc73518138"/>
      <w:bookmarkStart w:id="109" w:name="_Toc60631641"/>
      <w:bookmarkStart w:id="110" w:name="_Toc73521568"/>
      <w:bookmarkStart w:id="111" w:name="_Toc60560646"/>
      <w:bookmarkStart w:id="112" w:name="_Toc73521656"/>
      <w:bookmarkStart w:id="113" w:name="_Toc73517660"/>
      <w:r>
        <w:rPr>
          <w:rFonts w:eastAsia="黑体"/>
          <w:color w:val="000000" w:themeColor="text1"/>
          <w:sz w:val="24"/>
          <w14:textFill>
            <w14:solidFill>
              <w14:schemeClr w14:val="tx1"/>
            </w14:solidFill>
          </w14:textFill>
        </w:rPr>
        <w:t>1</w:t>
      </w:r>
      <w:r>
        <w:rPr>
          <w:rFonts w:hint="eastAsia" w:eastAsia="黑体"/>
          <w:color w:val="000000" w:themeColor="text1"/>
          <w:sz w:val="24"/>
          <w14:textFill>
            <w14:solidFill>
              <w14:schemeClr w14:val="tx1"/>
            </w14:solidFill>
          </w14:textFill>
        </w:rPr>
        <w:t>6</w:t>
      </w:r>
      <w:r>
        <w:rPr>
          <w:rFonts w:eastAsia="黑体"/>
          <w:color w:val="000000" w:themeColor="text1"/>
          <w:sz w:val="24"/>
          <w14:textFill>
            <w14:solidFill>
              <w14:schemeClr w14:val="tx1"/>
            </w14:solidFill>
          </w14:textFill>
        </w:rPr>
        <w:t>．投标人的替代方案</w:t>
      </w:r>
      <w:bookmarkEnd w:id="107"/>
      <w:bookmarkEnd w:id="108"/>
      <w:bookmarkEnd w:id="109"/>
      <w:bookmarkEnd w:id="110"/>
      <w:bookmarkEnd w:id="111"/>
      <w:bookmarkEnd w:id="112"/>
      <w:bookmarkEnd w:id="113"/>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6</w:t>
      </w:r>
      <w:r>
        <w:rPr>
          <w:color w:val="000000" w:themeColor="text1"/>
          <w:szCs w:val="21"/>
          <w14:textFill>
            <w14:solidFill>
              <w14:schemeClr w14:val="tx1"/>
            </w14:solidFill>
          </w14:textFill>
        </w:rPr>
        <w:t>.1投标人所提交的投标文件应完全满足招标文件（包括图纸和技术规范所示的基本技术设计）的要求。除非“投标须知前附表”中允许投标人提交替代方案，否则投标人有关替代方案的条款将不予考虑。</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6</w:t>
      </w:r>
      <w:r>
        <w:rPr>
          <w:color w:val="000000" w:themeColor="text1"/>
          <w:szCs w:val="21"/>
          <w14:textFill>
            <w14:solidFill>
              <w14:schemeClr w14:val="tx1"/>
            </w14:solidFill>
          </w14:textFill>
        </w:rPr>
        <w:t>.2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pPr>
        <w:spacing w:line="360" w:lineRule="auto"/>
        <w:rPr>
          <w:rFonts w:eastAsia="黑体"/>
          <w:color w:val="000000" w:themeColor="text1"/>
          <w:sz w:val="24"/>
          <w14:textFill>
            <w14:solidFill>
              <w14:schemeClr w14:val="tx1"/>
            </w14:solidFill>
          </w14:textFill>
        </w:rPr>
      </w:pPr>
      <w:bookmarkStart w:id="114" w:name="_Toc60560647"/>
      <w:bookmarkStart w:id="115" w:name="_Toc60631642"/>
      <w:bookmarkStart w:id="116" w:name="_Toc73521569"/>
      <w:bookmarkStart w:id="117" w:name="_Toc73517661"/>
      <w:bookmarkStart w:id="118" w:name="_Toc100052386"/>
      <w:bookmarkStart w:id="119" w:name="_Toc73521657"/>
      <w:bookmarkStart w:id="120" w:name="_Toc73518139"/>
      <w:r>
        <w:rPr>
          <w:rFonts w:eastAsia="黑体"/>
          <w:color w:val="000000" w:themeColor="text1"/>
          <w:sz w:val="24"/>
          <w14:textFill>
            <w14:solidFill>
              <w14:schemeClr w14:val="tx1"/>
            </w14:solidFill>
          </w14:textFill>
        </w:rPr>
        <w:t>1</w:t>
      </w:r>
      <w:bookmarkEnd w:id="114"/>
      <w:bookmarkEnd w:id="115"/>
      <w:r>
        <w:rPr>
          <w:rFonts w:hint="eastAsia" w:eastAsia="黑体"/>
          <w:color w:val="000000" w:themeColor="text1"/>
          <w:sz w:val="24"/>
          <w14:textFill>
            <w14:solidFill>
              <w14:schemeClr w14:val="tx1"/>
            </w14:solidFill>
          </w14:textFill>
        </w:rPr>
        <w:t>7</w:t>
      </w:r>
      <w:r>
        <w:rPr>
          <w:rFonts w:eastAsia="黑体"/>
          <w:color w:val="000000" w:themeColor="text1"/>
          <w:sz w:val="24"/>
          <w14:textFill>
            <w14:solidFill>
              <w14:schemeClr w14:val="tx1"/>
            </w14:solidFill>
          </w14:textFill>
        </w:rPr>
        <w:t>．投标文件的制作要求</w:t>
      </w:r>
      <w:bookmarkEnd w:id="116"/>
      <w:bookmarkEnd w:id="117"/>
      <w:bookmarkEnd w:id="118"/>
      <w:bookmarkEnd w:id="119"/>
      <w:bookmarkEnd w:id="120"/>
    </w:p>
    <w:p>
      <w:pPr>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7</w:t>
      </w:r>
      <w:r>
        <w:rPr>
          <w:color w:val="000000" w:themeColor="text1"/>
          <w:szCs w:val="21"/>
          <w14:textFill>
            <w14:solidFill>
              <w14:schemeClr w14:val="tx1"/>
            </w14:solidFill>
          </w14:textFill>
        </w:rPr>
        <w:t>.1 投标人应当按《投标须知前附表》中规定的份数制作所投招标项目的纸质投标文件，用于现场投标。</w:t>
      </w:r>
    </w:p>
    <w:p>
      <w:pPr>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7</w:t>
      </w:r>
      <w:r>
        <w:rPr>
          <w:color w:val="000000" w:themeColor="text1"/>
          <w:szCs w:val="21"/>
          <w14:textFill>
            <w14:solidFill>
              <w14:schemeClr w14:val="tx1"/>
            </w14:solidFill>
          </w14:textFill>
        </w:rPr>
        <w:t>.2 纸质投标文件须根据招标文件提供的投标文件格式模板及要求编制。</w:t>
      </w:r>
    </w:p>
    <w:p>
      <w:pPr>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7</w:t>
      </w:r>
      <w:r>
        <w:rPr>
          <w:color w:val="000000" w:themeColor="text1"/>
          <w:szCs w:val="21"/>
          <w14:textFill>
            <w14:solidFill>
              <w14:schemeClr w14:val="tx1"/>
            </w14:solidFill>
          </w14:textFill>
        </w:rPr>
        <w:t>.3 投标人在利用标书文件模板编制投标书时须注意：</w:t>
      </w:r>
    </w:p>
    <w:p>
      <w:pPr>
        <w:ind w:left="420"/>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7</w:t>
      </w:r>
      <w:r>
        <w:rPr>
          <w:color w:val="000000" w:themeColor="text1"/>
          <w:szCs w:val="21"/>
          <w14:textFill>
            <w14:solidFill>
              <w14:schemeClr w14:val="tx1"/>
            </w14:solidFill>
          </w14:textFill>
        </w:rPr>
        <w:t>.3.1除模板中要求填写、添加的内容外，不得对其他文字内容做任何改动。如果因操作失误而改动的，以模板中的文字叙述为准。</w:t>
      </w:r>
    </w:p>
    <w:p>
      <w:pPr>
        <w:ind w:firstLine="420"/>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7</w:t>
      </w:r>
      <w:r>
        <w:rPr>
          <w:color w:val="000000" w:themeColor="text1"/>
          <w:szCs w:val="21"/>
          <w14:textFill>
            <w14:solidFill>
              <w14:schemeClr w14:val="tx1"/>
            </w14:solidFill>
          </w14:textFill>
        </w:rPr>
        <w:t>.3.2招标文件项目编号应与根据此招标制作的投标文件项目编号一致。</w:t>
      </w:r>
    </w:p>
    <w:p>
      <w:pPr>
        <w:ind w:left="420"/>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7</w:t>
      </w:r>
      <w:r>
        <w:rPr>
          <w:color w:val="000000" w:themeColor="text1"/>
          <w:szCs w:val="21"/>
          <w14:textFill>
            <w14:solidFill>
              <w14:schemeClr w14:val="tx1"/>
            </w14:solidFill>
          </w14:textFill>
        </w:rPr>
        <w:t>.3.3必须完整、准确填写标书文件模板要求填写内容，不能填写如“*、\、[、&amp;、”等特殊字符。模板固定的格式内容和文字叙述，不得改变，如果因改变叙述而与模板的原叙述相冲突者，以模板的叙述为准。</w:t>
      </w:r>
    </w:p>
    <w:p>
      <w:pPr>
        <w:ind w:firstLine="315" w:firstLineChars="150"/>
        <w:rPr>
          <w:color w:val="000000" w:themeColor="text1"/>
          <w:szCs w:val="21"/>
          <w14:textFill>
            <w14:solidFill>
              <w14:schemeClr w14:val="tx1"/>
            </w14:solidFill>
          </w14:textFill>
        </w:rPr>
      </w:pPr>
    </w:p>
    <w:p>
      <w:pPr>
        <w:pStyle w:val="4"/>
        <w:numPr>
          <w:ilvl w:val="0"/>
          <w:numId w:val="1"/>
        </w:numPr>
        <w:adjustRightInd w:val="0"/>
        <w:spacing w:before="156" w:beforeLines="50" w:after="156" w:afterLines="50" w:line="240" w:lineRule="auto"/>
        <w:jc w:val="center"/>
        <w:textAlignment w:val="baseline"/>
        <w:rPr>
          <w:rFonts w:ascii="Times New Roman" w:hAnsi="Times New Roman"/>
          <w:color w:val="000000" w:themeColor="text1"/>
          <w:sz w:val="28"/>
          <w:szCs w:val="28"/>
          <w14:textFill>
            <w14:solidFill>
              <w14:schemeClr w14:val="tx1"/>
            </w14:solidFill>
          </w14:textFill>
        </w:rPr>
      </w:pPr>
      <w:bookmarkStart w:id="121" w:name="_Toc73517662"/>
      <w:bookmarkStart w:id="122" w:name="_Toc73521658"/>
      <w:bookmarkStart w:id="123" w:name="_Toc73521570"/>
      <w:bookmarkStart w:id="124" w:name="_Toc100052387"/>
      <w:bookmarkStart w:id="125" w:name="_Toc101074880"/>
      <w:bookmarkStart w:id="126" w:name="_Toc73518140"/>
      <w:r>
        <w:rPr>
          <w:rFonts w:ascii="Times New Roman" w:hAnsi="Times New Roman"/>
          <w:color w:val="000000" w:themeColor="text1"/>
          <w:sz w:val="28"/>
          <w:szCs w:val="28"/>
          <w14:textFill>
            <w14:solidFill>
              <w14:schemeClr w14:val="tx1"/>
            </w14:solidFill>
          </w14:textFill>
        </w:rPr>
        <w:t>投标文件</w:t>
      </w:r>
      <w:bookmarkEnd w:id="121"/>
      <w:bookmarkEnd w:id="122"/>
      <w:bookmarkEnd w:id="123"/>
      <w:bookmarkEnd w:id="124"/>
      <w:bookmarkEnd w:id="125"/>
      <w:bookmarkEnd w:id="126"/>
      <w:r>
        <w:rPr>
          <w:rFonts w:ascii="Times New Roman" w:hAnsi="Times New Roman"/>
          <w:color w:val="000000" w:themeColor="text1"/>
          <w:sz w:val="28"/>
          <w:szCs w:val="28"/>
          <w14:textFill>
            <w14:solidFill>
              <w14:schemeClr w14:val="tx1"/>
            </w14:solidFill>
          </w14:textFill>
        </w:rPr>
        <w:t>的递交</w:t>
      </w:r>
    </w:p>
    <w:p>
      <w:pPr>
        <w:spacing w:line="360" w:lineRule="auto"/>
        <w:rPr>
          <w:rFonts w:eastAsia="黑体"/>
          <w:color w:val="000000" w:themeColor="text1"/>
          <w:sz w:val="24"/>
          <w14:textFill>
            <w14:solidFill>
              <w14:schemeClr w14:val="tx1"/>
            </w14:solidFill>
          </w14:textFill>
        </w:rPr>
      </w:pPr>
      <w:bookmarkStart w:id="127" w:name="_Toc73517663"/>
      <w:bookmarkStart w:id="128" w:name="_Toc73521571"/>
      <w:bookmarkStart w:id="129" w:name="_Toc60560649"/>
      <w:bookmarkStart w:id="130" w:name="_Toc100052388"/>
      <w:bookmarkStart w:id="131" w:name="_Toc73521659"/>
      <w:bookmarkStart w:id="132" w:name="_Toc60631644"/>
      <w:bookmarkStart w:id="133" w:name="_Toc73518141"/>
      <w:r>
        <w:rPr>
          <w:rFonts w:hint="eastAsia" w:eastAsia="黑体"/>
          <w:color w:val="000000" w:themeColor="text1"/>
          <w:sz w:val="24"/>
          <w14:textFill>
            <w14:solidFill>
              <w14:schemeClr w14:val="tx1"/>
            </w14:solidFill>
          </w14:textFill>
        </w:rPr>
        <w:t>18</w:t>
      </w:r>
      <w:r>
        <w:rPr>
          <w:rFonts w:eastAsia="黑体"/>
          <w:color w:val="000000" w:themeColor="text1"/>
          <w:sz w:val="24"/>
          <w14:textFill>
            <w14:solidFill>
              <w14:schemeClr w14:val="tx1"/>
            </w14:solidFill>
          </w14:textFill>
        </w:rPr>
        <w:t>．投标文件的递交</w:t>
      </w:r>
    </w:p>
    <w:p>
      <w:pPr>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8</w:t>
      </w:r>
      <w:r>
        <w:rPr>
          <w:color w:val="000000" w:themeColor="text1"/>
          <w:szCs w:val="21"/>
          <w14:textFill>
            <w14:solidFill>
              <w14:schemeClr w14:val="tx1"/>
            </w14:solidFill>
          </w14:textFill>
        </w:rPr>
        <w:t>.1投标书的密封和标记。</w:t>
      </w:r>
    </w:p>
    <w:p>
      <w:pPr>
        <w:ind w:firstLine="420"/>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8</w:t>
      </w:r>
      <w:r>
        <w:rPr>
          <w:color w:val="000000" w:themeColor="text1"/>
          <w:szCs w:val="21"/>
          <w14:textFill>
            <w14:solidFill>
              <w14:schemeClr w14:val="tx1"/>
            </w14:solidFill>
          </w14:textFill>
        </w:rPr>
        <w:t>.1.1投标人应将唱标信封、投标文件密封，并标明项目编号、招标项目名称及“正本”或“副本”，唱标信封和投标文件（含正本和副本）应分开独立密封包装；电子文档放入唱标信封中。</w:t>
      </w:r>
    </w:p>
    <w:p>
      <w:pPr>
        <w:ind w:firstLine="420"/>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8</w:t>
      </w:r>
      <w:r>
        <w:rPr>
          <w:color w:val="000000" w:themeColor="text1"/>
          <w:szCs w:val="21"/>
          <w14:textFill>
            <w14:solidFill>
              <w14:schemeClr w14:val="tx1"/>
            </w14:solidFill>
          </w14:textFill>
        </w:rPr>
        <w:t>.1.2密封包上注明按“投标须知前附表”所规定的开标时间（指投标邀请书中规定的开标时间）前不准启封的字样。</w:t>
      </w:r>
    </w:p>
    <w:p>
      <w:pPr>
        <w:ind w:firstLine="420"/>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8</w:t>
      </w:r>
      <w:r>
        <w:rPr>
          <w:color w:val="000000" w:themeColor="text1"/>
          <w:szCs w:val="21"/>
          <w14:textFill>
            <w14:solidFill>
              <w14:schemeClr w14:val="tx1"/>
            </w14:solidFill>
          </w14:textFill>
        </w:rPr>
        <w:t>.1.3如投标文件由专人送交，投标方应将投标文件按1</w:t>
      </w:r>
      <w:r>
        <w:rPr>
          <w:rFonts w:hint="eastAsia"/>
          <w:color w:val="000000" w:themeColor="text1"/>
          <w:szCs w:val="21"/>
          <w14:textFill>
            <w14:solidFill>
              <w14:schemeClr w14:val="tx1"/>
            </w14:solidFill>
          </w14:textFill>
        </w:rPr>
        <w:t>8</w:t>
      </w:r>
      <w:r>
        <w:rPr>
          <w:color w:val="000000" w:themeColor="text1"/>
          <w:szCs w:val="21"/>
          <w14:textFill>
            <w14:solidFill>
              <w14:schemeClr w14:val="tx1"/>
            </w14:solidFill>
          </w14:textFill>
        </w:rPr>
        <w:t>.1.1-1</w:t>
      </w:r>
      <w:r>
        <w:rPr>
          <w:rFonts w:hint="eastAsia"/>
          <w:color w:val="000000" w:themeColor="text1"/>
          <w:szCs w:val="21"/>
          <w14:textFill>
            <w14:solidFill>
              <w14:schemeClr w14:val="tx1"/>
            </w14:solidFill>
          </w14:textFill>
        </w:rPr>
        <w:t>8</w:t>
      </w:r>
      <w:r>
        <w:rPr>
          <w:color w:val="000000" w:themeColor="text1"/>
          <w:szCs w:val="21"/>
          <w14:textFill>
            <w14:solidFill>
              <w14:schemeClr w14:val="tx1"/>
            </w14:solidFill>
          </w14:textFill>
        </w:rPr>
        <w:t>.1.2中的规定进行密封和标记后，按投标邀请书注明的地址送至招标方。</w:t>
      </w:r>
    </w:p>
    <w:p>
      <w:pPr>
        <w:ind w:firstLine="420"/>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8</w:t>
      </w:r>
      <w:r>
        <w:rPr>
          <w:color w:val="000000" w:themeColor="text1"/>
          <w:szCs w:val="21"/>
          <w14:textFill>
            <w14:solidFill>
              <w14:schemeClr w14:val="tx1"/>
            </w14:solidFill>
          </w14:textFill>
        </w:rPr>
        <w:t>.1.4邮寄、电报、电话、传真形式的投标概不接受。</w:t>
      </w:r>
    </w:p>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1</w:t>
      </w:r>
      <w:r>
        <w:rPr>
          <w:rFonts w:hint="eastAsia"/>
          <w:color w:val="000000" w:themeColor="text1"/>
          <w:szCs w:val="21"/>
          <w14:textFill>
            <w14:solidFill>
              <w14:schemeClr w14:val="tx1"/>
            </w14:solidFill>
          </w14:textFill>
        </w:rPr>
        <w:t>8</w:t>
      </w:r>
      <w:r>
        <w:rPr>
          <w:color w:val="000000" w:themeColor="text1"/>
          <w:szCs w:val="21"/>
          <w14:textFill>
            <w14:solidFill>
              <w14:schemeClr w14:val="tx1"/>
            </w14:solidFill>
          </w14:textFill>
        </w:rPr>
        <w:t>.2投标截止时间</w:t>
      </w:r>
    </w:p>
    <w:p>
      <w:pPr>
        <w:ind w:firstLine="420"/>
        <w:rPr>
          <w:color w:val="000000" w:themeColor="text1"/>
          <w:szCs w:val="21"/>
          <w14:textFill>
            <w14:solidFill>
              <w14:schemeClr w14:val="tx1"/>
            </w14:solidFill>
          </w14:textFill>
        </w:rPr>
      </w:pPr>
      <w:r>
        <w:rPr>
          <w:color w:val="000000" w:themeColor="text1"/>
          <w:szCs w:val="21"/>
          <w14:textFill>
            <w14:solidFill>
              <w14:schemeClr w14:val="tx1"/>
            </w14:solidFill>
          </w14:textFill>
        </w:rPr>
        <w:t>招标方在招标公告规定的地址收到投标书的时间不得迟于招标公告所规定的时间。</w:t>
      </w:r>
    </w:p>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1</w:t>
      </w:r>
      <w:r>
        <w:rPr>
          <w:rFonts w:hint="eastAsia"/>
          <w:color w:val="000000" w:themeColor="text1"/>
          <w:szCs w:val="21"/>
          <w14:textFill>
            <w14:solidFill>
              <w14:schemeClr w14:val="tx1"/>
            </w14:solidFill>
          </w14:textFill>
        </w:rPr>
        <w:t>8</w:t>
      </w:r>
      <w:r>
        <w:rPr>
          <w:color w:val="000000" w:themeColor="text1"/>
          <w:szCs w:val="21"/>
          <w14:textFill>
            <w14:solidFill>
              <w14:schemeClr w14:val="tx1"/>
            </w14:solidFill>
          </w14:textFill>
        </w:rPr>
        <w:t>.3迟交的投标书</w:t>
      </w:r>
    </w:p>
    <w:p>
      <w:pPr>
        <w:ind w:firstLine="420"/>
        <w:rPr>
          <w:color w:val="000000" w:themeColor="text1"/>
          <w:szCs w:val="21"/>
          <w14:textFill>
            <w14:solidFill>
              <w14:schemeClr w14:val="tx1"/>
            </w14:solidFill>
          </w14:textFill>
        </w:rPr>
      </w:pPr>
      <w:r>
        <w:rPr>
          <w:color w:val="000000" w:themeColor="text1"/>
          <w:szCs w:val="21"/>
          <w14:textFill>
            <w14:solidFill>
              <w14:schemeClr w14:val="tx1"/>
            </w14:solidFill>
          </w14:textFill>
        </w:rPr>
        <w:t>按照投标人须知第1</w:t>
      </w:r>
      <w:r>
        <w:rPr>
          <w:rFonts w:hint="eastAsia"/>
          <w:color w:val="000000" w:themeColor="text1"/>
          <w:szCs w:val="21"/>
          <w14:textFill>
            <w14:solidFill>
              <w14:schemeClr w14:val="tx1"/>
            </w14:solidFill>
          </w14:textFill>
        </w:rPr>
        <w:t>8</w:t>
      </w:r>
      <w:r>
        <w:rPr>
          <w:color w:val="000000" w:themeColor="text1"/>
          <w:szCs w:val="21"/>
          <w14:textFill>
            <w14:solidFill>
              <w14:schemeClr w14:val="tx1"/>
            </w14:solidFill>
          </w14:textFill>
        </w:rPr>
        <w:t>.2条规定，招标方将拒绝并原封退回在其规定的投标截止期后收到的任何投标书。</w:t>
      </w:r>
    </w:p>
    <w:p>
      <w:pPr>
        <w:ind w:firstLine="420"/>
        <w:rPr>
          <w:color w:val="000000" w:themeColor="text1"/>
          <w:szCs w:val="21"/>
          <w14:textFill>
            <w14:solidFill>
              <w14:schemeClr w14:val="tx1"/>
            </w14:solidFill>
          </w14:textFill>
        </w:rPr>
      </w:pPr>
    </w:p>
    <w:p>
      <w:pPr>
        <w:spacing w:line="360" w:lineRule="auto"/>
        <w:rPr>
          <w:rFonts w:eastAsia="黑体"/>
          <w:color w:val="000000" w:themeColor="text1"/>
          <w:sz w:val="24"/>
          <w14:textFill>
            <w14:solidFill>
              <w14:schemeClr w14:val="tx1"/>
            </w14:solidFill>
          </w14:textFill>
        </w:rPr>
      </w:pPr>
      <w:r>
        <w:rPr>
          <w:rFonts w:hint="eastAsia" w:eastAsia="黑体"/>
          <w:color w:val="000000" w:themeColor="text1"/>
          <w:sz w:val="24"/>
          <w14:textFill>
            <w14:solidFill>
              <w14:schemeClr w14:val="tx1"/>
            </w14:solidFill>
          </w14:textFill>
        </w:rPr>
        <w:t>19</w:t>
      </w:r>
      <w:r>
        <w:rPr>
          <w:rFonts w:eastAsia="黑体"/>
          <w:color w:val="000000" w:themeColor="text1"/>
          <w:sz w:val="24"/>
          <w14:textFill>
            <w14:solidFill>
              <w14:schemeClr w14:val="tx1"/>
            </w14:solidFill>
          </w14:textFill>
        </w:rPr>
        <w:t>．投标文件的修改和撤销</w:t>
      </w:r>
    </w:p>
    <w:bookmarkEnd w:id="127"/>
    <w:bookmarkEnd w:id="128"/>
    <w:bookmarkEnd w:id="129"/>
    <w:bookmarkEnd w:id="130"/>
    <w:bookmarkEnd w:id="131"/>
    <w:bookmarkEnd w:id="132"/>
    <w:bookmarkEnd w:id="133"/>
    <w:p>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19</w:t>
      </w:r>
      <w:r>
        <w:rPr>
          <w:color w:val="000000" w:themeColor="text1"/>
          <w:szCs w:val="21"/>
          <w14:textFill>
            <w14:solidFill>
              <w14:schemeClr w14:val="tx1"/>
            </w14:solidFill>
          </w14:textFill>
        </w:rPr>
        <w:t>.1  投标人在递交投标书后，可以修改或撤回其投标书，但招标方必须在规定的投标截止期之前，收到修改或撤回的书面通知。</w:t>
      </w:r>
    </w:p>
    <w:p>
      <w:pPr>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19</w:t>
      </w:r>
      <w:r>
        <w:rPr>
          <w:color w:val="000000" w:themeColor="text1"/>
          <w:szCs w:val="21"/>
          <w14:textFill>
            <w14:solidFill>
              <w14:schemeClr w14:val="tx1"/>
            </w14:solidFill>
          </w14:textFill>
        </w:rPr>
        <w:t>.2  投标人的修改或撤回通知书应按投标人须知第1</w:t>
      </w:r>
      <w:r>
        <w:rPr>
          <w:rFonts w:hint="eastAsia"/>
          <w:color w:val="000000" w:themeColor="text1"/>
          <w:szCs w:val="21"/>
          <w14:textFill>
            <w14:solidFill>
              <w14:schemeClr w14:val="tx1"/>
            </w14:solidFill>
          </w14:textFill>
        </w:rPr>
        <w:t>8</w:t>
      </w:r>
      <w:r>
        <w:rPr>
          <w:color w:val="000000" w:themeColor="text1"/>
          <w:szCs w:val="21"/>
          <w14:textFill>
            <w14:solidFill>
              <w14:schemeClr w14:val="tx1"/>
            </w14:solidFill>
          </w14:textFill>
        </w:rPr>
        <w:t>.1条规定编制、密封、标记和发送，并应在封套上加注“修改”或“撤回”字样。</w:t>
      </w:r>
    </w:p>
    <w:p>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19</w:t>
      </w:r>
      <w:r>
        <w:rPr>
          <w:color w:val="000000" w:themeColor="text1"/>
          <w:szCs w:val="21"/>
          <w14:textFill>
            <w14:solidFill>
              <w14:schemeClr w14:val="tx1"/>
            </w14:solidFill>
          </w14:textFill>
        </w:rPr>
        <w:t>.3  在投标截止期之后，投标人不得对其投标书做任何修改。</w:t>
      </w:r>
    </w:p>
    <w:p>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19</w:t>
      </w:r>
      <w:r>
        <w:rPr>
          <w:color w:val="000000" w:themeColor="text1"/>
          <w:szCs w:val="21"/>
          <w14:textFill>
            <w14:solidFill>
              <w14:schemeClr w14:val="tx1"/>
            </w14:solidFill>
          </w14:textFill>
        </w:rPr>
        <w:t>.4  在投标人须知第1</w:t>
      </w:r>
      <w:r>
        <w:rPr>
          <w:rFonts w:hint="eastAsia"/>
          <w:color w:val="000000" w:themeColor="text1"/>
          <w:szCs w:val="21"/>
          <w14:textFill>
            <w14:solidFill>
              <w14:schemeClr w14:val="tx1"/>
            </w14:solidFill>
          </w14:textFill>
        </w:rPr>
        <w:t>8</w:t>
      </w:r>
      <w:r>
        <w:rPr>
          <w:color w:val="000000" w:themeColor="text1"/>
          <w:szCs w:val="21"/>
          <w14:textFill>
            <w14:solidFill>
              <w14:schemeClr w14:val="tx1"/>
            </w14:solidFill>
          </w14:textFill>
        </w:rPr>
        <w:t>.2条规定的投标截止期至投标人须知第15条规定的投标有效期期满之间的这段时间内，投标人不得撤回其投标，</w:t>
      </w:r>
      <w:r>
        <w:rPr>
          <w:rFonts w:hint="eastAsia"/>
          <w:color w:val="000000" w:themeColor="text1"/>
          <w:szCs w:val="21"/>
          <w14:textFill>
            <w14:solidFill>
              <w14:schemeClr w14:val="tx1"/>
            </w14:solidFill>
          </w14:textFill>
        </w:rPr>
        <w:t>否则将由投标人自行承担一切责任</w:t>
      </w:r>
      <w:r>
        <w:rPr>
          <w:color w:val="000000" w:themeColor="text1"/>
          <w:szCs w:val="21"/>
          <w14:textFill>
            <w14:solidFill>
              <w14:schemeClr w14:val="tx1"/>
            </w14:solidFill>
          </w14:textFill>
        </w:rPr>
        <w:t>。</w:t>
      </w:r>
    </w:p>
    <w:p>
      <w:pPr>
        <w:pStyle w:val="4"/>
        <w:numPr>
          <w:ilvl w:val="0"/>
          <w:numId w:val="1"/>
        </w:numPr>
        <w:adjustRightInd w:val="0"/>
        <w:spacing w:before="156" w:beforeLines="50" w:after="156" w:afterLines="50" w:line="240" w:lineRule="auto"/>
        <w:jc w:val="center"/>
        <w:textAlignment w:val="baseline"/>
        <w:rPr>
          <w:rFonts w:ascii="Times New Roman" w:hAnsi="Times New Roman"/>
          <w:color w:val="000000" w:themeColor="text1"/>
          <w:sz w:val="28"/>
          <w:szCs w:val="28"/>
          <w14:textFill>
            <w14:solidFill>
              <w14:schemeClr w14:val="tx1"/>
            </w14:solidFill>
          </w14:textFill>
        </w:rPr>
      </w:pPr>
      <w:bookmarkStart w:id="134" w:name="_Toc100052391"/>
      <w:bookmarkStart w:id="135" w:name="_Toc73517666"/>
      <w:bookmarkStart w:id="136" w:name="_Toc73521574"/>
      <w:bookmarkStart w:id="137" w:name="_Toc101074881"/>
      <w:bookmarkStart w:id="138" w:name="_Toc73518144"/>
      <w:bookmarkStart w:id="139" w:name="_Toc73521662"/>
      <w:r>
        <w:rPr>
          <w:rFonts w:ascii="Times New Roman" w:hAnsi="Times New Roman"/>
          <w:color w:val="000000" w:themeColor="text1"/>
          <w:sz w:val="28"/>
          <w:szCs w:val="28"/>
          <w14:textFill>
            <w14:solidFill>
              <w14:schemeClr w14:val="tx1"/>
            </w14:solidFill>
          </w14:textFill>
        </w:rPr>
        <w:t>开标</w:t>
      </w:r>
      <w:bookmarkEnd w:id="134"/>
      <w:bookmarkEnd w:id="135"/>
      <w:bookmarkEnd w:id="136"/>
      <w:bookmarkEnd w:id="137"/>
      <w:bookmarkEnd w:id="138"/>
      <w:bookmarkEnd w:id="139"/>
    </w:p>
    <w:p>
      <w:pPr>
        <w:spacing w:line="360" w:lineRule="auto"/>
        <w:rPr>
          <w:rFonts w:eastAsia="黑体"/>
          <w:color w:val="000000" w:themeColor="text1"/>
          <w:sz w:val="24"/>
          <w14:textFill>
            <w14:solidFill>
              <w14:schemeClr w14:val="tx1"/>
            </w14:solidFill>
          </w14:textFill>
        </w:rPr>
      </w:pPr>
      <w:bookmarkStart w:id="140" w:name="_Toc73517667"/>
      <w:bookmarkStart w:id="141" w:name="_Toc100052392"/>
      <w:bookmarkStart w:id="142" w:name="_Toc60631650"/>
      <w:bookmarkStart w:id="143" w:name="_Toc60560655"/>
      <w:bookmarkStart w:id="144" w:name="_Toc73521663"/>
      <w:bookmarkStart w:id="145" w:name="_Toc73518145"/>
      <w:bookmarkStart w:id="146" w:name="_Toc73521575"/>
      <w:r>
        <w:rPr>
          <w:rFonts w:eastAsia="黑体"/>
          <w:color w:val="000000" w:themeColor="text1"/>
          <w:sz w:val="24"/>
          <w14:textFill>
            <w14:solidFill>
              <w14:schemeClr w14:val="tx1"/>
            </w14:solidFill>
          </w14:textFill>
        </w:rPr>
        <w:t>2</w:t>
      </w:r>
      <w:r>
        <w:rPr>
          <w:rFonts w:hint="eastAsia" w:eastAsia="黑体"/>
          <w:color w:val="000000" w:themeColor="text1"/>
          <w:sz w:val="24"/>
          <w14:textFill>
            <w14:solidFill>
              <w14:schemeClr w14:val="tx1"/>
            </w14:solidFill>
          </w14:textFill>
        </w:rPr>
        <w:t>0</w:t>
      </w:r>
      <w:r>
        <w:rPr>
          <w:rFonts w:eastAsia="黑体"/>
          <w:color w:val="000000" w:themeColor="text1"/>
          <w:sz w:val="24"/>
          <w14:textFill>
            <w14:solidFill>
              <w14:schemeClr w14:val="tx1"/>
            </w14:solidFill>
          </w14:textFill>
        </w:rPr>
        <w:t>．开标</w:t>
      </w:r>
      <w:bookmarkEnd w:id="140"/>
      <w:bookmarkEnd w:id="141"/>
      <w:bookmarkEnd w:id="142"/>
      <w:bookmarkEnd w:id="143"/>
      <w:bookmarkEnd w:id="144"/>
      <w:bookmarkEnd w:id="145"/>
      <w:bookmarkEnd w:id="146"/>
    </w:p>
    <w:p>
      <w:pPr>
        <w:ind w:firstLine="411" w:firstLineChars="196"/>
        <w:rPr>
          <w:color w:val="000000" w:themeColor="text1"/>
          <w:szCs w:val="21"/>
          <w14:textFill>
            <w14:solidFill>
              <w14:schemeClr w14:val="tx1"/>
            </w14:solidFill>
          </w14:textFill>
        </w:rPr>
      </w:pPr>
      <w:bookmarkStart w:id="147" w:name="bt评标"/>
      <w:bookmarkEnd w:id="147"/>
      <w:bookmarkStart w:id="148" w:name="_Toc73521664"/>
      <w:bookmarkStart w:id="149" w:name="_Toc73517668"/>
      <w:bookmarkStart w:id="150" w:name="_Toc73521576"/>
      <w:bookmarkStart w:id="151" w:name="_Toc73518146"/>
      <w:bookmarkStart w:id="152" w:name="_Toc101074882"/>
      <w:bookmarkStart w:id="153" w:name="_Toc100052393"/>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0</w:t>
      </w:r>
      <w:r>
        <w:rPr>
          <w:color w:val="000000" w:themeColor="text1"/>
          <w:szCs w:val="21"/>
          <w14:textFill>
            <w14:solidFill>
              <w14:schemeClr w14:val="tx1"/>
            </w14:solidFill>
          </w14:textFill>
        </w:rPr>
        <w:t>.1  招标方将按“招标公告”规定的时间和地点组织公开开标。投标人应委派代表参加，参加开标的代表应签名报到以证明出席。</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0</w:t>
      </w:r>
      <w:r>
        <w:rPr>
          <w:color w:val="000000" w:themeColor="text1"/>
          <w:szCs w:val="21"/>
          <w14:textFill>
            <w14:solidFill>
              <w14:schemeClr w14:val="tx1"/>
            </w14:solidFill>
          </w14:textFill>
        </w:rPr>
        <w:t>.2  开标时，招标方将当众宣读投标人名称、修改和撤回投标的通知、开标一览表（以招标文件规定的开标一览表内容为准）。投标文件中开标一览表内容与投标报价明细表内容不一致的，以开标一览表为准。</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除了按照投标人须知第</w:t>
      </w:r>
      <w:r>
        <w:rPr>
          <w:rFonts w:hint="eastAsia"/>
          <w:color w:val="000000" w:themeColor="text1"/>
          <w:szCs w:val="21"/>
          <w14:textFill>
            <w14:solidFill>
              <w14:schemeClr w14:val="tx1"/>
            </w14:solidFill>
          </w14:textFill>
        </w:rPr>
        <w:t>18</w:t>
      </w:r>
      <w:r>
        <w:rPr>
          <w:color w:val="000000" w:themeColor="text1"/>
          <w:szCs w:val="21"/>
          <w14:textFill>
            <w14:solidFill>
              <w14:schemeClr w14:val="tx1"/>
            </w14:solidFill>
          </w14:textFill>
        </w:rPr>
        <w:t>条规定原封退回的投标之外，开标时将不得拒绝任何投标书。</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0</w:t>
      </w:r>
      <w:r>
        <w:rPr>
          <w:color w:val="000000" w:themeColor="text1"/>
          <w:szCs w:val="21"/>
          <w14:textFill>
            <w14:solidFill>
              <w14:schemeClr w14:val="tx1"/>
            </w14:solidFill>
          </w14:textFill>
        </w:rPr>
        <w:t>.3  按照投标人须知第</w:t>
      </w:r>
      <w:r>
        <w:rPr>
          <w:rFonts w:hint="eastAsia"/>
          <w:color w:val="000000" w:themeColor="text1"/>
          <w:szCs w:val="21"/>
          <w14:textFill>
            <w14:solidFill>
              <w14:schemeClr w14:val="tx1"/>
            </w14:solidFill>
          </w14:textFill>
        </w:rPr>
        <w:t>19</w:t>
      </w:r>
      <w:r>
        <w:rPr>
          <w:color w:val="000000" w:themeColor="text1"/>
          <w:szCs w:val="21"/>
          <w14:textFill>
            <w14:solidFill>
              <w14:schemeClr w14:val="tx1"/>
            </w14:solidFill>
          </w14:textFill>
        </w:rPr>
        <w:t>条规定，提交了可接受的“撤回”通知的投标将不予开封。</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0</w:t>
      </w:r>
      <w:r>
        <w:rPr>
          <w:color w:val="000000" w:themeColor="text1"/>
          <w:szCs w:val="21"/>
          <w14:textFill>
            <w14:solidFill>
              <w14:schemeClr w14:val="tx1"/>
            </w14:solidFill>
          </w14:textFill>
        </w:rPr>
        <w:t>.4  无论如何在开标时没有启封和读出的投标书在评标时将不予考虑。撤回的投标书将原封退回投标人。</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0</w:t>
      </w:r>
      <w:r>
        <w:rPr>
          <w:color w:val="000000" w:themeColor="text1"/>
          <w:szCs w:val="21"/>
          <w14:textFill>
            <w14:solidFill>
              <w14:schemeClr w14:val="tx1"/>
            </w14:solidFill>
          </w14:textFill>
        </w:rPr>
        <w:t>.5  招标方将做开标记录，开标记录包括按投标人须知第2</w:t>
      </w:r>
      <w:r>
        <w:rPr>
          <w:rFonts w:hint="eastAsia"/>
          <w:color w:val="000000" w:themeColor="text1"/>
          <w:szCs w:val="21"/>
          <w14:textFill>
            <w14:solidFill>
              <w14:schemeClr w14:val="tx1"/>
            </w14:solidFill>
          </w14:textFill>
        </w:rPr>
        <w:t>0</w:t>
      </w:r>
      <w:r>
        <w:rPr>
          <w:color w:val="000000" w:themeColor="text1"/>
          <w:szCs w:val="21"/>
          <w14:textFill>
            <w14:solidFill>
              <w14:schemeClr w14:val="tx1"/>
            </w14:solidFill>
          </w14:textFill>
        </w:rPr>
        <w:t>.2的规定在开标时宣读的全部内容。</w:t>
      </w:r>
    </w:p>
    <w:p>
      <w:pPr>
        <w:pStyle w:val="4"/>
        <w:numPr>
          <w:ilvl w:val="0"/>
          <w:numId w:val="1"/>
        </w:numPr>
        <w:adjustRightInd w:val="0"/>
        <w:spacing w:before="156" w:beforeLines="50" w:after="156" w:afterLines="50" w:line="240" w:lineRule="auto"/>
        <w:jc w:val="center"/>
        <w:textAlignment w:val="baseline"/>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评标</w:t>
      </w:r>
      <w:bookmarkEnd w:id="148"/>
      <w:bookmarkEnd w:id="149"/>
      <w:bookmarkEnd w:id="150"/>
      <w:bookmarkEnd w:id="151"/>
      <w:r>
        <w:rPr>
          <w:rFonts w:ascii="Times New Roman" w:hAnsi="Times New Roman"/>
          <w:color w:val="000000" w:themeColor="text1"/>
          <w:sz w:val="28"/>
          <w:szCs w:val="28"/>
          <w14:textFill>
            <w14:solidFill>
              <w14:schemeClr w14:val="tx1"/>
            </w14:solidFill>
          </w14:textFill>
        </w:rPr>
        <w:t>要求</w:t>
      </w:r>
      <w:bookmarkEnd w:id="152"/>
      <w:bookmarkEnd w:id="153"/>
    </w:p>
    <w:p>
      <w:pPr>
        <w:spacing w:line="360" w:lineRule="auto"/>
        <w:rPr>
          <w:rFonts w:eastAsia="黑体"/>
          <w:color w:val="000000" w:themeColor="text1"/>
          <w:sz w:val="24"/>
          <w14:textFill>
            <w14:solidFill>
              <w14:schemeClr w14:val="tx1"/>
            </w14:solidFill>
          </w14:textFill>
        </w:rPr>
      </w:pPr>
      <w:bookmarkStart w:id="154" w:name="bt评标会议"/>
      <w:bookmarkEnd w:id="154"/>
      <w:bookmarkStart w:id="155" w:name="_Toc73518147"/>
      <w:bookmarkStart w:id="156" w:name="_Toc73517669"/>
      <w:bookmarkStart w:id="157" w:name="_Toc100052394"/>
      <w:bookmarkStart w:id="158" w:name="_Toc73521665"/>
      <w:bookmarkStart w:id="159" w:name="_Toc73521577"/>
      <w:r>
        <w:rPr>
          <w:rFonts w:eastAsia="黑体"/>
          <w:color w:val="000000" w:themeColor="text1"/>
          <w:sz w:val="24"/>
          <w14:textFill>
            <w14:solidFill>
              <w14:schemeClr w14:val="tx1"/>
            </w14:solidFill>
          </w14:textFill>
        </w:rPr>
        <w:t>2</w:t>
      </w:r>
      <w:r>
        <w:rPr>
          <w:rFonts w:hint="eastAsia" w:eastAsia="黑体"/>
          <w:color w:val="000000" w:themeColor="text1"/>
          <w:sz w:val="24"/>
          <w14:textFill>
            <w14:solidFill>
              <w14:schemeClr w14:val="tx1"/>
            </w14:solidFill>
          </w14:textFill>
        </w:rPr>
        <w:t>1</w:t>
      </w:r>
      <w:r>
        <w:rPr>
          <w:rFonts w:eastAsia="黑体"/>
          <w:color w:val="000000" w:themeColor="text1"/>
          <w:sz w:val="24"/>
          <w14:textFill>
            <w14:solidFill>
              <w14:schemeClr w14:val="tx1"/>
            </w14:solidFill>
          </w14:textFill>
        </w:rPr>
        <w:t>．评标会议</w:t>
      </w:r>
    </w:p>
    <w:p>
      <w:pPr>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.1开标会结束后召开评标会议，评标委员会由</w:t>
      </w:r>
      <w:r>
        <w:rPr>
          <w:rFonts w:hint="eastAsia"/>
          <w:color w:val="000000" w:themeColor="text1"/>
          <w14:textFill>
            <w14:solidFill>
              <w14:schemeClr w14:val="tx1"/>
            </w14:solidFill>
          </w14:textFill>
        </w:rPr>
        <w:t>招标方</w:t>
      </w:r>
      <w:r>
        <w:rPr>
          <w:color w:val="000000" w:themeColor="text1"/>
          <w14:textFill>
            <w14:solidFill>
              <w14:schemeClr w14:val="tx1"/>
            </w14:solidFill>
          </w14:textFill>
        </w:rPr>
        <w:t>依法组建，负责评标活动。</w:t>
      </w:r>
    </w:p>
    <w:p>
      <w:pPr>
        <w:ind w:firstLine="420"/>
        <w:rPr>
          <w:color w:val="000000" w:themeColor="text1"/>
          <w14:textFill>
            <w14:solidFill>
              <w14:schemeClr w14:val="tx1"/>
            </w14:solidFill>
          </w14:textFill>
        </w:rPr>
      </w:pPr>
      <w:r>
        <w:rPr>
          <w:color w:val="000000" w:themeColor="text1"/>
          <w14:textFill>
            <w14:solidFill>
              <w14:schemeClr w14:val="tx1"/>
            </w14:solidFill>
          </w14:textFill>
        </w:rPr>
        <w:t>评标委员会的组成及行为规范执行《关于印发&lt;深圳市政府采购评标委员会和评标方法暂行规定&gt;的通知》(深财购[2005]5号)，规定如下：</w:t>
      </w:r>
    </w:p>
    <w:p>
      <w:pPr>
        <w:ind w:firstLine="420"/>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.1.1采用公开招标及邀请招标的，评标委员会由</w:t>
      </w:r>
      <w:r>
        <w:rPr>
          <w:rFonts w:hint="eastAsia"/>
          <w:color w:val="000000" w:themeColor="text1"/>
          <w14:textFill>
            <w14:solidFill>
              <w14:schemeClr w14:val="tx1"/>
            </w14:solidFill>
          </w14:textFill>
        </w:rPr>
        <w:t>招标方</w:t>
      </w:r>
      <w:r>
        <w:rPr>
          <w:color w:val="000000" w:themeColor="text1"/>
          <w14:textFill>
            <w14:solidFill>
              <w14:schemeClr w14:val="tx1"/>
            </w14:solidFill>
          </w14:textFill>
        </w:rPr>
        <w:t>代表和有关技术、经济等方面的专家组成，成员人数为5人以上（含5人）单数，其中技术、经济等方面的专家不少于成员总数的三分之二。</w:t>
      </w:r>
    </w:p>
    <w:p>
      <w:pPr>
        <w:ind w:firstLine="420"/>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.1.2采用竞争性谈判的，采用综合评标法的，谈判小组成员由</w:t>
      </w:r>
      <w:r>
        <w:rPr>
          <w:rFonts w:hint="eastAsia"/>
          <w:color w:val="000000" w:themeColor="text1"/>
          <w14:textFill>
            <w14:solidFill>
              <w14:schemeClr w14:val="tx1"/>
            </w14:solidFill>
          </w14:textFill>
        </w:rPr>
        <w:t>招标方</w:t>
      </w:r>
      <w:r>
        <w:rPr>
          <w:color w:val="000000" w:themeColor="text1"/>
          <w14:textFill>
            <w14:solidFill>
              <w14:schemeClr w14:val="tx1"/>
            </w14:solidFill>
          </w14:textFill>
        </w:rPr>
        <w:t>代表和有关专家共5人以上（含5人）的单数组成，其中专家的人数不得少于成员总数的三分之二；采用最低价评标法的，谈判小组成员由</w:t>
      </w:r>
      <w:r>
        <w:rPr>
          <w:rFonts w:hint="eastAsia"/>
          <w:color w:val="000000" w:themeColor="text1"/>
          <w14:textFill>
            <w14:solidFill>
              <w14:schemeClr w14:val="tx1"/>
            </w14:solidFill>
          </w14:textFill>
        </w:rPr>
        <w:t>招标方</w:t>
      </w:r>
      <w:r>
        <w:rPr>
          <w:color w:val="000000" w:themeColor="text1"/>
          <w14:textFill>
            <w14:solidFill>
              <w14:schemeClr w14:val="tx1"/>
            </w14:solidFill>
          </w14:textFill>
        </w:rPr>
        <w:t>代表和有关专家共3人以上（含3人）的单数组成，其中专家的人数不得少于成员总数的三分之二。</w:t>
      </w:r>
    </w:p>
    <w:p>
      <w:pPr>
        <w:ind w:firstLine="420"/>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.1.3采用单一来源谈判的，谈判小组成员由</w:t>
      </w:r>
      <w:r>
        <w:rPr>
          <w:rFonts w:hint="eastAsia"/>
          <w:color w:val="000000" w:themeColor="text1"/>
          <w14:textFill>
            <w14:solidFill>
              <w14:schemeClr w14:val="tx1"/>
            </w14:solidFill>
          </w14:textFill>
        </w:rPr>
        <w:t>招标方</w:t>
      </w:r>
      <w:r>
        <w:rPr>
          <w:color w:val="000000" w:themeColor="text1"/>
          <w14:textFill>
            <w14:solidFill>
              <w14:schemeClr w14:val="tx1"/>
            </w14:solidFill>
          </w14:textFill>
        </w:rPr>
        <w:t>代表和有关专家共3人以上（含3人）的单数组成，其中专家的人数不得少于成员总数的三分之二。</w:t>
      </w:r>
    </w:p>
    <w:p>
      <w:pPr>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.2评标定标应当遵循公平、公正、科学、择优的原则。</w:t>
      </w:r>
    </w:p>
    <w:p>
      <w:pPr>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.3评标活动依法进行，任何单位和个人不得非法干预评标过程和结果。</w:t>
      </w:r>
    </w:p>
    <w:p>
      <w:pPr>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.4评标过程中不允许违背评标程序或采用招标文件未载明的评标方法或评标因素进行评标。</w:t>
      </w:r>
    </w:p>
    <w:p>
      <w:pPr>
        <w:ind w:firstLine="411" w:firstLineChars="196"/>
        <w:rPr>
          <w:bCs/>
          <w:color w:val="000000" w:themeColor="text1"/>
          <w14:textFill>
            <w14:solidFill>
              <w14:schemeClr w14:val="tx1"/>
            </w14:solidFill>
          </w14:textFill>
        </w:rPr>
      </w:pPr>
      <w:r>
        <w:rPr>
          <w:bCs/>
          <w:color w:val="000000" w:themeColor="text1"/>
          <w14:textFill>
            <w14:solidFill>
              <w14:schemeClr w14:val="tx1"/>
            </w14:solidFill>
          </w14:textFill>
        </w:rPr>
        <w:t>2</w:t>
      </w:r>
      <w:r>
        <w:rPr>
          <w:rFonts w:hint="eastAsia"/>
          <w:bCs/>
          <w:color w:val="000000" w:themeColor="text1"/>
          <w14:textFill>
            <w14:solidFill>
              <w14:schemeClr w14:val="tx1"/>
            </w14:solidFill>
          </w14:textFill>
        </w:rPr>
        <w:t>1</w:t>
      </w:r>
      <w:r>
        <w:rPr>
          <w:bCs/>
          <w:color w:val="000000" w:themeColor="text1"/>
          <w14:textFill>
            <w14:solidFill>
              <w14:schemeClr w14:val="tx1"/>
            </w14:solidFill>
          </w14:textFill>
        </w:rPr>
        <w:t>.5 开标后，直到授予中标人合同为止，凡属于对投标文件的审查、澄清、评价和比较的有关资料以及中标候选人的推荐情况、与评标有关的其他任何情况均严格保密。</w:t>
      </w:r>
    </w:p>
    <w:p>
      <w:pPr>
        <w:spacing w:line="360" w:lineRule="auto"/>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2</w:t>
      </w:r>
      <w:r>
        <w:rPr>
          <w:rFonts w:hint="eastAsia" w:eastAsia="黑体"/>
          <w:color w:val="000000" w:themeColor="text1"/>
          <w:sz w:val="24"/>
          <w14:textFill>
            <w14:solidFill>
              <w14:schemeClr w14:val="tx1"/>
            </w14:solidFill>
          </w14:textFill>
        </w:rPr>
        <w:t>2</w:t>
      </w:r>
      <w:r>
        <w:rPr>
          <w:rFonts w:eastAsia="黑体"/>
          <w:color w:val="000000" w:themeColor="text1"/>
          <w:sz w:val="24"/>
          <w14:textFill>
            <w14:solidFill>
              <w14:schemeClr w14:val="tx1"/>
            </w14:solidFill>
          </w14:textFill>
        </w:rPr>
        <w:t>．向评标委员会提供的资料</w:t>
      </w:r>
    </w:p>
    <w:p>
      <w:pPr>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.1公开发布的招标文件，包括图纸、服务清单、答疑文件等；</w:t>
      </w:r>
    </w:p>
    <w:p>
      <w:pPr>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.2其他评标必须的资料。</w:t>
      </w:r>
    </w:p>
    <w:p>
      <w:pPr>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.3评标委员会应当认真研究招标文件，至少应了解熟悉以下内容：</w:t>
      </w:r>
    </w:p>
    <w:p>
      <w:pPr>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（1）招标的目的；</w:t>
      </w:r>
    </w:p>
    <w:p>
      <w:pPr>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（2）招标项目需求的范围和性质；</w:t>
      </w:r>
    </w:p>
    <w:p>
      <w:pPr>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（3）招标文件规定的投标人的资质、财政预算限额、商务条款；</w:t>
      </w:r>
    </w:p>
    <w:p>
      <w:pPr>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（4）招标文件规定的评标程序、评标方法和评标因素；</w:t>
      </w:r>
    </w:p>
    <w:p>
      <w:pPr>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（5）招标文件所列示的废标条件；</w:t>
      </w:r>
    </w:p>
    <w:p>
      <w:pPr>
        <w:spacing w:line="360" w:lineRule="auto"/>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2</w:t>
      </w:r>
      <w:r>
        <w:rPr>
          <w:rFonts w:hint="eastAsia" w:eastAsia="黑体"/>
          <w:color w:val="000000" w:themeColor="text1"/>
          <w:sz w:val="24"/>
          <w14:textFill>
            <w14:solidFill>
              <w14:schemeClr w14:val="tx1"/>
            </w14:solidFill>
          </w14:textFill>
        </w:rPr>
        <w:t>3</w:t>
      </w:r>
      <w:r>
        <w:rPr>
          <w:rFonts w:eastAsia="黑体"/>
          <w:color w:val="000000" w:themeColor="text1"/>
          <w:sz w:val="24"/>
          <w14:textFill>
            <w14:solidFill>
              <w14:schemeClr w14:val="tx1"/>
            </w14:solidFill>
          </w14:textFill>
        </w:rPr>
        <w:t>．独立评标</w:t>
      </w:r>
    </w:p>
    <w:p>
      <w:pPr>
        <w:ind w:firstLine="413" w:firstLineChars="196"/>
        <w:rPr>
          <w:b/>
          <w:bCs/>
          <w:color w:val="000000" w:themeColor="text1"/>
          <w:szCs w:val="21"/>
          <w14:textFill>
            <w14:solidFill>
              <w14:schemeClr w14:val="tx1"/>
            </w14:solidFill>
          </w14:textFill>
        </w:rPr>
      </w:pPr>
      <w:r>
        <w:rPr>
          <w:b/>
          <w:bCs/>
          <w:color w:val="000000" w:themeColor="text1"/>
          <w14:textFill>
            <w14:solidFill>
              <w14:schemeClr w14:val="tx1"/>
            </w14:solidFill>
          </w14:textFill>
        </w:rPr>
        <w:t>2</w:t>
      </w:r>
      <w:r>
        <w:rPr>
          <w:rFonts w:hint="eastAsia"/>
          <w:b/>
          <w:bCs/>
          <w:color w:val="000000" w:themeColor="text1"/>
          <w14:textFill>
            <w14:solidFill>
              <w14:schemeClr w14:val="tx1"/>
            </w14:solidFill>
          </w14:textFill>
        </w:rPr>
        <w:t>3</w:t>
      </w:r>
      <w:r>
        <w:rPr>
          <w:b/>
          <w:bCs/>
          <w:color w:val="000000" w:themeColor="text1"/>
          <w14:textFill>
            <w14:solidFill>
              <w14:schemeClr w14:val="tx1"/>
            </w14:solidFill>
          </w14:textFill>
        </w:rPr>
        <w:t>.1评标委员会成员的评标活动应当独立进行，并应遵循投标文件初审、澄清有关问题、比较与评价、确定中标供应商、编写评标报告的工作程序。</w:t>
      </w:r>
      <w:bookmarkEnd w:id="155"/>
      <w:bookmarkEnd w:id="156"/>
      <w:bookmarkEnd w:id="157"/>
      <w:bookmarkEnd w:id="158"/>
      <w:bookmarkEnd w:id="159"/>
      <w:bookmarkStart w:id="160" w:name="bt评标过程的保密"/>
      <w:bookmarkEnd w:id="160"/>
      <w:bookmarkStart w:id="161" w:name="bt错误的修正"/>
      <w:bookmarkEnd w:id="161"/>
    </w:p>
    <w:p>
      <w:pPr>
        <w:pStyle w:val="4"/>
        <w:numPr>
          <w:ilvl w:val="0"/>
          <w:numId w:val="1"/>
        </w:numPr>
        <w:adjustRightInd w:val="0"/>
        <w:spacing w:before="156" w:beforeLines="50" w:after="156" w:afterLines="50" w:line="240" w:lineRule="auto"/>
        <w:jc w:val="center"/>
        <w:textAlignment w:val="baseline"/>
        <w:rPr>
          <w:rFonts w:ascii="Times New Roman" w:hAnsi="Times New Roman"/>
          <w:color w:val="000000" w:themeColor="text1"/>
          <w:sz w:val="28"/>
          <w:szCs w:val="28"/>
          <w14:textFill>
            <w14:solidFill>
              <w14:schemeClr w14:val="tx1"/>
            </w14:solidFill>
          </w14:textFill>
        </w:rPr>
      </w:pPr>
      <w:bookmarkStart w:id="162" w:name="_Toc100052397"/>
      <w:bookmarkStart w:id="163" w:name="_Toc101074883"/>
      <w:r>
        <w:rPr>
          <w:rFonts w:ascii="Times New Roman" w:hAnsi="Times New Roman"/>
          <w:color w:val="000000" w:themeColor="text1"/>
          <w:sz w:val="28"/>
          <w:szCs w:val="28"/>
          <w14:textFill>
            <w14:solidFill>
              <w14:schemeClr w14:val="tx1"/>
            </w14:solidFill>
          </w14:textFill>
        </w:rPr>
        <w:t>评标程序</w:t>
      </w:r>
      <w:bookmarkStart w:id="164" w:name="bt投标文件的审查"/>
      <w:bookmarkEnd w:id="164"/>
      <w:bookmarkStart w:id="165" w:name="_Toc73518149"/>
      <w:bookmarkStart w:id="166" w:name="_Toc73521579"/>
      <w:bookmarkStart w:id="167" w:name="_Toc73517671"/>
      <w:bookmarkStart w:id="168" w:name="_Toc73521667"/>
      <w:r>
        <w:rPr>
          <w:rFonts w:ascii="Times New Roman" w:hAnsi="Times New Roman"/>
          <w:color w:val="000000" w:themeColor="text1"/>
          <w:sz w:val="28"/>
          <w:szCs w:val="28"/>
          <w14:textFill>
            <w14:solidFill>
              <w14:schemeClr w14:val="tx1"/>
            </w14:solidFill>
          </w14:textFill>
        </w:rPr>
        <w:t>及评标方法</w:t>
      </w:r>
      <w:bookmarkEnd w:id="162"/>
      <w:bookmarkEnd w:id="163"/>
    </w:p>
    <w:p>
      <w:pPr>
        <w:spacing w:line="360" w:lineRule="auto"/>
        <w:rPr>
          <w:rFonts w:eastAsia="黑体"/>
          <w:color w:val="000000" w:themeColor="text1"/>
          <w:sz w:val="24"/>
          <w14:textFill>
            <w14:solidFill>
              <w14:schemeClr w14:val="tx1"/>
            </w14:solidFill>
          </w14:textFill>
        </w:rPr>
      </w:pPr>
      <w:bookmarkStart w:id="169" w:name="_Toc100052398"/>
      <w:r>
        <w:rPr>
          <w:rFonts w:eastAsia="黑体"/>
          <w:color w:val="000000" w:themeColor="text1"/>
          <w:sz w:val="24"/>
          <w14:textFill>
            <w14:solidFill>
              <w14:schemeClr w14:val="tx1"/>
            </w14:solidFill>
          </w14:textFill>
        </w:rPr>
        <w:t>2</w:t>
      </w:r>
      <w:r>
        <w:rPr>
          <w:rFonts w:hint="eastAsia" w:eastAsia="黑体"/>
          <w:color w:val="000000" w:themeColor="text1"/>
          <w:sz w:val="24"/>
          <w14:textFill>
            <w14:solidFill>
              <w14:schemeClr w14:val="tx1"/>
            </w14:solidFill>
          </w14:textFill>
        </w:rPr>
        <w:t>4</w:t>
      </w:r>
      <w:r>
        <w:rPr>
          <w:rFonts w:eastAsia="黑体"/>
          <w:color w:val="000000" w:themeColor="text1"/>
          <w:sz w:val="24"/>
          <w14:textFill>
            <w14:solidFill>
              <w14:schemeClr w14:val="tx1"/>
            </w14:solidFill>
          </w14:textFill>
        </w:rPr>
        <w:t>．投标文件初审</w:t>
      </w:r>
      <w:bookmarkEnd w:id="169"/>
    </w:p>
    <w:p>
      <w:pPr>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4</w:t>
      </w:r>
      <w:r>
        <w:rPr>
          <w:color w:val="000000" w:themeColor="text1"/>
          <w14:textFill>
            <w14:solidFill>
              <w14:schemeClr w14:val="tx1"/>
            </w14:solidFill>
          </w14:textFill>
        </w:rPr>
        <w:t>.1投标文件初审包括资格性检查和符合性检查。资格性检查：依据法律法规和招标文件的规定，对投标文件中的资格证明等进行审查，以确定投标供应商是否具备投标资格。符合性检查：依据招标文件的规定，从投标文件的有效性、完整性和对招标文件的响应程度进行审查，以确定是否对招标文件的实质性要求作出响应。</w:t>
      </w:r>
    </w:p>
    <w:p>
      <w:pPr>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4</w:t>
      </w:r>
      <w:r>
        <w:rPr>
          <w:color w:val="000000" w:themeColor="text1"/>
          <w14:textFill>
            <w14:solidFill>
              <w14:schemeClr w14:val="tx1"/>
            </w14:solidFill>
          </w14:textFill>
        </w:rPr>
        <w:t>.2</w:t>
      </w:r>
      <w:r>
        <w:rPr>
          <w:b/>
          <w:color w:val="000000" w:themeColor="text1"/>
          <w14:textFill>
            <w14:solidFill>
              <w14:schemeClr w14:val="tx1"/>
            </w14:solidFill>
          </w14:textFill>
        </w:rPr>
        <w:t>投标文件初审内容请详见“关键信息”中的《投标文件初审表》部分。投标人若有一条审查不通过则按废标处理。</w:t>
      </w:r>
    </w:p>
    <w:p>
      <w:pPr>
        <w:ind w:firstLine="411" w:firstLineChars="196"/>
        <w:rPr>
          <w:b/>
          <w:bCs/>
          <w:color w:val="000000" w:themeColor="text1"/>
          <w:szCs w:val="2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4</w:t>
      </w:r>
      <w:r>
        <w:rPr>
          <w:color w:val="000000" w:themeColor="text1"/>
          <w14:textFill>
            <w14:solidFill>
              <w14:schemeClr w14:val="tx1"/>
            </w14:solidFill>
          </w14:textFill>
        </w:rPr>
        <w:t>.3对不属于投标文件初审表所列的其他情形，除法律法规另有规定外，不得作为废标的理由。</w:t>
      </w:r>
      <w:bookmarkEnd w:id="165"/>
      <w:bookmarkEnd w:id="166"/>
      <w:bookmarkEnd w:id="167"/>
      <w:bookmarkEnd w:id="168"/>
    </w:p>
    <w:p>
      <w:pPr>
        <w:spacing w:line="360" w:lineRule="auto"/>
        <w:rPr>
          <w:rFonts w:eastAsia="黑体"/>
          <w:color w:val="000000" w:themeColor="text1"/>
          <w:sz w:val="24"/>
          <w14:textFill>
            <w14:solidFill>
              <w14:schemeClr w14:val="tx1"/>
            </w14:solidFill>
          </w14:textFill>
        </w:rPr>
      </w:pPr>
      <w:bookmarkStart w:id="170" w:name="_Toc100052399"/>
      <w:r>
        <w:rPr>
          <w:rFonts w:eastAsia="黑体"/>
          <w:color w:val="000000" w:themeColor="text1"/>
          <w:sz w:val="24"/>
          <w14:textFill>
            <w14:solidFill>
              <w14:schemeClr w14:val="tx1"/>
            </w14:solidFill>
          </w14:textFill>
        </w:rPr>
        <w:t>2</w:t>
      </w:r>
      <w:r>
        <w:rPr>
          <w:rFonts w:hint="eastAsia" w:eastAsia="黑体"/>
          <w:color w:val="000000" w:themeColor="text1"/>
          <w:sz w:val="24"/>
          <w14:textFill>
            <w14:solidFill>
              <w14:schemeClr w14:val="tx1"/>
            </w14:solidFill>
          </w14:textFill>
        </w:rPr>
        <w:t>5</w:t>
      </w:r>
      <w:r>
        <w:rPr>
          <w:rFonts w:eastAsia="黑体"/>
          <w:color w:val="000000" w:themeColor="text1"/>
          <w:sz w:val="24"/>
          <w14:textFill>
            <w14:solidFill>
              <w14:schemeClr w14:val="tx1"/>
            </w14:solidFill>
          </w14:textFill>
        </w:rPr>
        <w:t>．澄清有关问题</w:t>
      </w:r>
      <w:bookmarkEnd w:id="170"/>
    </w:p>
    <w:p>
      <w:pPr>
        <w:ind w:firstLine="411" w:firstLineChars="196"/>
        <w:rPr>
          <w:color w:val="000000" w:themeColor="text1"/>
          <w:szCs w:val="21"/>
          <w14:textFill>
            <w14:solidFill>
              <w14:schemeClr w14:val="tx1"/>
            </w14:solidFill>
          </w14:textFill>
        </w:rPr>
      </w:pPr>
      <w:bookmarkStart w:id="171" w:name="bt投标文件的评估和比较"/>
      <w:bookmarkEnd w:id="171"/>
      <w:bookmarkStart w:id="172" w:name="bt投标文件的澄清"/>
      <w:bookmarkEnd w:id="172"/>
      <w:bookmarkStart w:id="173" w:name="bt废标"/>
      <w:bookmarkEnd w:id="173"/>
      <w:bookmarkStart w:id="174" w:name="_Toc73517675"/>
      <w:bookmarkStart w:id="175" w:name="_Toc73521583"/>
      <w:bookmarkStart w:id="176" w:name="_Toc73518153"/>
      <w:bookmarkStart w:id="177" w:name="_Toc73521671"/>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5</w:t>
      </w:r>
      <w:r>
        <w:rPr>
          <w:color w:val="000000" w:themeColor="text1"/>
          <w:szCs w:val="21"/>
          <w14:textFill>
            <w14:solidFill>
              <w14:schemeClr w14:val="tx1"/>
            </w14:solidFill>
          </w14:textFill>
        </w:rPr>
        <w:t>.1为了有助于投标文件的审查、评价和比较，对投标文件含义不明确、同类问题表述不一致或者有明显文字和计算错误的内容，评标委员会可以用书面形式(应当由评标委员会签字)要求投标供应商作出必要的澄清、说明或者纠正。投标人的澄清、说明或者补正应当采用书面形式（由其受权的代表签字），并不得超出投标文件的范围或者改变投标文件的实质性的内容。根据本须知第2</w:t>
      </w:r>
      <w:r>
        <w:rPr>
          <w:rFonts w:hint="eastAsia"/>
          <w:color w:val="000000" w:themeColor="text1"/>
          <w:szCs w:val="21"/>
          <w14:textFill>
            <w14:solidFill>
              <w14:schemeClr w14:val="tx1"/>
            </w14:solidFill>
          </w14:textFill>
        </w:rPr>
        <w:t>6</w:t>
      </w:r>
      <w:r>
        <w:rPr>
          <w:color w:val="000000" w:themeColor="text1"/>
          <w:szCs w:val="21"/>
          <w14:textFill>
            <w14:solidFill>
              <w14:schemeClr w14:val="tx1"/>
            </w14:solidFill>
          </w14:textFill>
        </w:rPr>
        <w:t>条，凡属于评标委员会在评标中发现的算术错误进行核实的修改不在此列。</w:t>
      </w:r>
    </w:p>
    <w:p>
      <w:pPr>
        <w:spacing w:line="360" w:lineRule="auto"/>
        <w:rPr>
          <w:rFonts w:eastAsia="黑体"/>
          <w:color w:val="000000" w:themeColor="text1"/>
          <w:sz w:val="24"/>
          <w14:textFill>
            <w14:solidFill>
              <w14:schemeClr w14:val="tx1"/>
            </w14:solidFill>
          </w14:textFill>
        </w:rPr>
      </w:pPr>
      <w:bookmarkStart w:id="178" w:name="_Toc73521669"/>
      <w:bookmarkStart w:id="179" w:name="_Toc73521581"/>
      <w:bookmarkStart w:id="180" w:name="_Toc100052400"/>
      <w:bookmarkStart w:id="181" w:name="_Toc73518151"/>
      <w:bookmarkStart w:id="182" w:name="_Toc73517673"/>
      <w:r>
        <w:rPr>
          <w:rFonts w:eastAsia="黑体"/>
          <w:color w:val="000000" w:themeColor="text1"/>
          <w:sz w:val="24"/>
          <w14:textFill>
            <w14:solidFill>
              <w14:schemeClr w14:val="tx1"/>
            </w14:solidFill>
          </w14:textFill>
        </w:rPr>
        <w:t>2</w:t>
      </w:r>
      <w:r>
        <w:rPr>
          <w:rFonts w:hint="eastAsia" w:eastAsia="黑体"/>
          <w:color w:val="000000" w:themeColor="text1"/>
          <w:sz w:val="24"/>
          <w14:textFill>
            <w14:solidFill>
              <w14:schemeClr w14:val="tx1"/>
            </w14:solidFill>
          </w14:textFill>
        </w:rPr>
        <w:t>6</w:t>
      </w:r>
      <w:r>
        <w:rPr>
          <w:rFonts w:eastAsia="黑体"/>
          <w:color w:val="000000" w:themeColor="text1"/>
          <w:sz w:val="24"/>
          <w14:textFill>
            <w14:solidFill>
              <w14:schemeClr w14:val="tx1"/>
            </w14:solidFill>
          </w14:textFill>
        </w:rPr>
        <w:t>．错误的修正</w:t>
      </w:r>
      <w:bookmarkEnd w:id="178"/>
      <w:bookmarkEnd w:id="179"/>
      <w:bookmarkEnd w:id="180"/>
      <w:bookmarkEnd w:id="181"/>
      <w:bookmarkEnd w:id="182"/>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6</w:t>
      </w:r>
      <w:r>
        <w:rPr>
          <w:color w:val="000000" w:themeColor="text1"/>
          <w:szCs w:val="21"/>
          <w14:textFill>
            <w14:solidFill>
              <w14:schemeClr w14:val="tx1"/>
            </w14:solidFill>
          </w14:textFill>
        </w:rPr>
        <w:t>.1  评标委员会将审查投标文件是否完整、总体编排是否有序、文件签署是否合格</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有无计算上的错误等。</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6</w:t>
      </w:r>
      <w:r>
        <w:rPr>
          <w:color w:val="000000" w:themeColor="text1"/>
          <w:szCs w:val="21"/>
          <w14:textFill>
            <w14:solidFill>
              <w14:schemeClr w14:val="tx1"/>
            </w14:solidFill>
          </w14:textFill>
        </w:rPr>
        <w:t>.2  算术错误将按以下方法更正（次序排先者优先）：</w:t>
      </w:r>
    </w:p>
    <w:p>
      <w:pPr>
        <w:ind w:firstLine="412"/>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6</w:t>
      </w:r>
      <w:r>
        <w:rPr>
          <w:color w:val="000000" w:themeColor="text1"/>
          <w:szCs w:val="21"/>
          <w14:textFill>
            <w14:solidFill>
              <w14:schemeClr w14:val="tx1"/>
            </w14:solidFill>
          </w14:textFill>
        </w:rPr>
        <w:t>.2.1 若开标一览表中投标总价与分项报价清单表总价不一致，以开标一览表投标总价为准；</w:t>
      </w:r>
    </w:p>
    <w:p>
      <w:pPr>
        <w:ind w:firstLine="412"/>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6</w:t>
      </w:r>
      <w:r>
        <w:rPr>
          <w:color w:val="000000" w:themeColor="text1"/>
          <w:szCs w:val="21"/>
          <w14:textFill>
            <w14:solidFill>
              <w14:schemeClr w14:val="tx1"/>
            </w14:solidFill>
          </w14:textFill>
        </w:rPr>
        <w:t>.2.2 若投标文件中分项报价清单表报价与总价不一致，以总价为准；</w:t>
      </w:r>
    </w:p>
    <w:p>
      <w:pPr>
        <w:ind w:firstLine="412"/>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6</w:t>
      </w:r>
      <w:r>
        <w:rPr>
          <w:color w:val="000000" w:themeColor="text1"/>
          <w:szCs w:val="21"/>
          <w14:textFill>
            <w14:solidFill>
              <w14:schemeClr w14:val="tx1"/>
            </w14:solidFill>
          </w14:textFill>
        </w:rPr>
        <w:t>.2.3 若投标文件的大写金额和小写金额不一致的，以大写金额为准；</w:t>
      </w:r>
    </w:p>
    <w:p>
      <w:pPr>
        <w:ind w:firstLine="412"/>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6</w:t>
      </w:r>
      <w:r>
        <w:rPr>
          <w:color w:val="000000" w:themeColor="text1"/>
          <w:szCs w:val="21"/>
          <w14:textFill>
            <w14:solidFill>
              <w14:schemeClr w14:val="tx1"/>
            </w14:solidFill>
          </w14:textFill>
        </w:rPr>
        <w:t>.2.4当综合单价与数量的乘积与合价不一致时，以综合单价为准，除非评标委员会认为综合单价有明显的小数点错误，此时应以标出的合价为准，并修改综合单价。</w:t>
      </w:r>
    </w:p>
    <w:p>
      <w:pPr>
        <w:ind w:firstLine="412"/>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6</w:t>
      </w:r>
      <w:r>
        <w:rPr>
          <w:color w:val="000000" w:themeColor="text1"/>
          <w:szCs w:val="21"/>
          <w14:textFill>
            <w14:solidFill>
              <w14:schemeClr w14:val="tx1"/>
            </w14:solidFill>
          </w14:textFill>
        </w:rPr>
        <w:t>.2.5单价金额小数点有明显错位的，应以总价为准，并修改单价；</w:t>
      </w:r>
    </w:p>
    <w:p>
      <w:pPr>
        <w:ind w:firstLine="412"/>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6</w:t>
      </w:r>
      <w:r>
        <w:rPr>
          <w:color w:val="000000" w:themeColor="text1"/>
          <w:szCs w:val="21"/>
          <w14:textFill>
            <w14:solidFill>
              <w14:schemeClr w14:val="tx1"/>
            </w14:solidFill>
          </w14:textFill>
        </w:rPr>
        <w:t>.2.6 对不同文字文本投标文件的解释发生异议的，以中文文本为准。</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6</w:t>
      </w:r>
      <w:r>
        <w:rPr>
          <w:color w:val="000000" w:themeColor="text1"/>
          <w:szCs w:val="21"/>
          <w14:textFill>
            <w14:solidFill>
              <w14:schemeClr w14:val="tx1"/>
            </w14:solidFill>
          </w14:textFill>
        </w:rPr>
        <w:t>.3  对于投标文件中不构成实质性偏差的不正规、不一致或不规则，给评审带来不便，评标委员会可以接受。</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6</w:t>
      </w:r>
      <w:r>
        <w:rPr>
          <w:color w:val="000000" w:themeColor="text1"/>
          <w:szCs w:val="21"/>
          <w14:textFill>
            <w14:solidFill>
              <w14:schemeClr w14:val="tx1"/>
            </w14:solidFill>
          </w14:textFill>
        </w:rPr>
        <w:t>.4上述修正错误的原则及方法调整或修正投标文件的投标报价，投标人同意后，调整后的投标报价对投标人起约束作用。</w:t>
      </w:r>
      <w:r>
        <w:rPr>
          <w:b/>
          <w:bCs/>
          <w:color w:val="000000" w:themeColor="text1"/>
          <w:szCs w:val="21"/>
          <w14:textFill>
            <w14:solidFill>
              <w14:schemeClr w14:val="tx1"/>
            </w14:solidFill>
          </w14:textFill>
        </w:rPr>
        <w:t>如果投标人不接受修正后的报价，则其投标将被拒绝，并不影响评标工作。</w:t>
      </w:r>
    </w:p>
    <w:p>
      <w:pPr>
        <w:spacing w:line="360" w:lineRule="auto"/>
        <w:rPr>
          <w:rFonts w:eastAsia="黑体"/>
          <w:color w:val="000000" w:themeColor="text1"/>
          <w:sz w:val="24"/>
          <w14:textFill>
            <w14:solidFill>
              <w14:schemeClr w14:val="tx1"/>
            </w14:solidFill>
          </w14:textFill>
        </w:rPr>
      </w:pPr>
      <w:bookmarkStart w:id="183" w:name="_Toc100052401"/>
      <w:r>
        <w:rPr>
          <w:rFonts w:eastAsia="黑体"/>
          <w:color w:val="000000" w:themeColor="text1"/>
          <w:sz w:val="24"/>
          <w14:textFill>
            <w14:solidFill>
              <w14:schemeClr w14:val="tx1"/>
            </w14:solidFill>
          </w14:textFill>
        </w:rPr>
        <w:t>2</w:t>
      </w:r>
      <w:r>
        <w:rPr>
          <w:rFonts w:hint="eastAsia" w:eastAsia="黑体"/>
          <w:color w:val="000000" w:themeColor="text1"/>
          <w:sz w:val="24"/>
          <w14:textFill>
            <w14:solidFill>
              <w14:schemeClr w14:val="tx1"/>
            </w14:solidFill>
          </w14:textFill>
        </w:rPr>
        <w:t>7</w:t>
      </w:r>
      <w:r>
        <w:rPr>
          <w:rFonts w:eastAsia="黑体"/>
          <w:color w:val="000000" w:themeColor="text1"/>
          <w:sz w:val="24"/>
          <w14:textFill>
            <w14:solidFill>
              <w14:schemeClr w14:val="tx1"/>
            </w14:solidFill>
          </w14:textFill>
        </w:rPr>
        <w:t>．投标文件的</w:t>
      </w:r>
      <w:bookmarkEnd w:id="174"/>
      <w:bookmarkEnd w:id="175"/>
      <w:bookmarkEnd w:id="176"/>
      <w:bookmarkEnd w:id="177"/>
      <w:r>
        <w:rPr>
          <w:rFonts w:eastAsia="黑体"/>
          <w:color w:val="000000" w:themeColor="text1"/>
          <w:sz w:val="24"/>
          <w14:textFill>
            <w14:solidFill>
              <w14:schemeClr w14:val="tx1"/>
            </w14:solidFill>
          </w14:textFill>
        </w:rPr>
        <w:t>比较与评价</w:t>
      </w:r>
      <w:bookmarkEnd w:id="183"/>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评标委员会将按照《深圳经济特区政府采购条例》及《深圳市政府采购评标委员会和评标方法暂行规定》，参照相关法律、法规、规定，仅对通过资格性审查和符合性审查的投标文件进行综合比较与评价。</w:t>
      </w:r>
    </w:p>
    <w:p>
      <w:pPr>
        <w:spacing w:line="360" w:lineRule="auto"/>
        <w:rPr>
          <w:rFonts w:eastAsia="黑体"/>
          <w:color w:val="000000" w:themeColor="text1"/>
          <w:sz w:val="24"/>
          <w14:textFill>
            <w14:solidFill>
              <w14:schemeClr w14:val="tx1"/>
            </w14:solidFill>
          </w14:textFill>
        </w:rPr>
      </w:pPr>
      <w:bookmarkStart w:id="184" w:name="_Toc100052402"/>
      <w:r>
        <w:rPr>
          <w:rFonts w:eastAsia="黑体"/>
          <w:color w:val="000000" w:themeColor="text1"/>
          <w:sz w:val="24"/>
          <w14:textFill>
            <w14:solidFill>
              <w14:schemeClr w14:val="tx1"/>
            </w14:solidFill>
          </w14:textFill>
        </w:rPr>
        <w:t>2</w:t>
      </w:r>
      <w:r>
        <w:rPr>
          <w:rFonts w:hint="eastAsia" w:eastAsia="黑体"/>
          <w:color w:val="000000" w:themeColor="text1"/>
          <w:sz w:val="24"/>
          <w14:textFill>
            <w14:solidFill>
              <w14:schemeClr w14:val="tx1"/>
            </w14:solidFill>
          </w14:textFill>
        </w:rPr>
        <w:t>8</w:t>
      </w:r>
      <w:r>
        <w:rPr>
          <w:rFonts w:eastAsia="黑体"/>
          <w:color w:val="000000" w:themeColor="text1"/>
          <w:sz w:val="24"/>
          <w14:textFill>
            <w14:solidFill>
              <w14:schemeClr w14:val="tx1"/>
            </w14:solidFill>
          </w14:textFill>
        </w:rPr>
        <w:t>．评标方法</w:t>
      </w:r>
      <w:bookmarkEnd w:id="184"/>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8</w:t>
      </w:r>
      <w:r>
        <w:rPr>
          <w:color w:val="000000" w:themeColor="text1"/>
          <w:szCs w:val="21"/>
          <w14:textFill>
            <w14:solidFill>
              <w14:schemeClr w14:val="tx1"/>
            </w14:solidFill>
          </w14:textFill>
        </w:rPr>
        <w:t>.1</w:t>
      </w:r>
      <w:r>
        <w:rPr>
          <w:color w:val="000000" w:themeColor="text1"/>
          <w14:textFill>
            <w14:solidFill>
              <w14:schemeClr w14:val="tx1"/>
            </w14:solidFill>
          </w14:textFill>
        </w:rPr>
        <w:t>评标方法执行《转发财政部关于加强政府采购货物和服务项目价格评审管理的通知》（深财购[2007]9号）和《关于印发&lt;深圳市政府采购评标委员会和评标方法暂行规定&gt;的通知》(深财购[2005]5号)</w:t>
      </w:r>
      <w:r>
        <w:rPr>
          <w:color w:val="000000" w:themeColor="text1"/>
          <w14:textFill>
            <w14:solidFill>
              <w14:schemeClr w14:val="tx1"/>
            </w14:solidFill>
          </w14:textFill>
        </w:rPr>
        <w:cr/>
      </w:r>
      <w:r>
        <w:rPr>
          <w:color w:val="000000" w:themeColor="text1"/>
          <w:szCs w:val="21"/>
          <w14:textFill>
            <w14:solidFill>
              <w14:schemeClr w14:val="tx1"/>
            </w14:solidFill>
          </w14:textFill>
        </w:rPr>
        <w:t>项目评标方法分为最低评标价法、综合评标法、性价比法及法律、法规允许的其它评标办法。</w:t>
      </w:r>
    </w:p>
    <w:p>
      <w:pPr>
        <w:ind w:firstLine="413" w:firstLineChars="196"/>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2</w:t>
      </w:r>
      <w:r>
        <w:rPr>
          <w:rFonts w:hint="eastAsia"/>
          <w:b/>
          <w:bCs/>
          <w:color w:val="000000" w:themeColor="text1"/>
          <w:szCs w:val="21"/>
          <w14:textFill>
            <w14:solidFill>
              <w14:schemeClr w14:val="tx1"/>
            </w14:solidFill>
          </w14:textFill>
        </w:rPr>
        <w:t>8</w:t>
      </w:r>
      <w:r>
        <w:rPr>
          <w:b/>
          <w:bCs/>
          <w:color w:val="000000" w:themeColor="text1"/>
          <w:szCs w:val="21"/>
          <w14:textFill>
            <w14:solidFill>
              <w14:schemeClr w14:val="tx1"/>
            </w14:solidFill>
          </w14:textFill>
        </w:rPr>
        <w:t>.1.1</w:t>
      </w:r>
      <w:bookmarkStart w:id="185" w:name="评标方法2"/>
      <w:r>
        <w:rPr>
          <w:b/>
          <w:bCs/>
          <w:color w:val="000000" w:themeColor="text1"/>
          <w:szCs w:val="21"/>
          <w14:textFill>
            <w14:solidFill>
              <w14:schemeClr w14:val="tx1"/>
            </w14:solidFill>
          </w14:textFill>
        </w:rPr>
        <w:t>最低评标价法</w:t>
      </w:r>
    </w:p>
    <w:p>
      <w:pPr>
        <w:ind w:firstLine="411" w:firstLineChars="196"/>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最低价法是指以价格因素确定中标候选供应商的评标方法，即在满足招标文件实质性要求前提下，以报价最低的投标供应商作为候选中标供应商或中标供应商的评标方法；</w:t>
      </w:r>
    </w:p>
    <w:p>
      <w:pPr>
        <w:ind w:firstLine="413" w:firstLineChars="196"/>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2</w:t>
      </w:r>
      <w:r>
        <w:rPr>
          <w:rFonts w:hint="eastAsia"/>
          <w:b/>
          <w:bCs/>
          <w:color w:val="000000" w:themeColor="text1"/>
          <w:szCs w:val="21"/>
          <w14:textFill>
            <w14:solidFill>
              <w14:schemeClr w14:val="tx1"/>
            </w14:solidFill>
          </w14:textFill>
        </w:rPr>
        <w:t>8</w:t>
      </w:r>
      <w:r>
        <w:rPr>
          <w:b/>
          <w:bCs/>
          <w:color w:val="000000" w:themeColor="text1"/>
          <w:szCs w:val="21"/>
          <w14:textFill>
            <w14:solidFill>
              <w14:schemeClr w14:val="tx1"/>
            </w14:solidFill>
          </w14:textFill>
        </w:rPr>
        <w:t>.1.2综合评分法</w:t>
      </w:r>
      <w:bookmarkEnd w:id="185"/>
    </w:p>
    <w:p>
      <w:pPr>
        <w:ind w:firstLine="411" w:firstLineChars="196"/>
        <w:rPr>
          <w:bCs/>
          <w:color w:val="000000" w:themeColor="text1"/>
          <w:szCs w:val="21"/>
          <w14:textFill>
            <w14:solidFill>
              <w14:schemeClr w14:val="tx1"/>
            </w14:solidFill>
          </w14:textFill>
        </w:rPr>
      </w:pPr>
      <w:bookmarkStart w:id="186" w:name="评标方法3"/>
      <w:r>
        <w:rPr>
          <w:bCs/>
          <w:color w:val="000000" w:themeColor="text1"/>
          <w:szCs w:val="21"/>
          <w14:textFill>
            <w14:solidFill>
              <w14:schemeClr w14:val="tx1"/>
            </w14:solidFill>
          </w14:textFill>
        </w:rPr>
        <w:t>综合评分法是指在最大限度地满足招标文件实质性要求前提下，按照招标文件中规定的各项因素进行量化打分，每个投标供应商的总得分应以去掉一个最高分和一个最低分后的汇总分确定，以评标总得分最高的投标供应商作为候选中标供应商或中标供应商的评标方法。</w:t>
      </w:r>
    </w:p>
    <w:p>
      <w:pPr>
        <w:ind w:firstLine="413" w:firstLineChars="196"/>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2</w:t>
      </w:r>
      <w:r>
        <w:rPr>
          <w:rFonts w:hint="eastAsia"/>
          <w:b/>
          <w:bCs/>
          <w:color w:val="000000" w:themeColor="text1"/>
          <w:szCs w:val="21"/>
          <w14:textFill>
            <w14:solidFill>
              <w14:schemeClr w14:val="tx1"/>
            </w14:solidFill>
          </w14:textFill>
        </w:rPr>
        <w:t>8</w:t>
      </w:r>
      <w:r>
        <w:rPr>
          <w:b/>
          <w:bCs/>
          <w:color w:val="000000" w:themeColor="text1"/>
          <w:szCs w:val="21"/>
          <w14:textFill>
            <w14:solidFill>
              <w14:schemeClr w14:val="tx1"/>
            </w14:solidFill>
          </w14:textFill>
        </w:rPr>
        <w:t>.1.3性价比法</w:t>
      </w:r>
    </w:p>
    <w:p>
      <w:pPr>
        <w:ind w:firstLine="411" w:firstLineChars="196"/>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性价比法是指除价格因素外，经对投标文件进行评审，计算出评分因素的总分，除以投标报价，以商数最高的投标供应商作为候选中标供应商或中标供应商的评标方法。</w:t>
      </w:r>
    </w:p>
    <w:p>
      <w:pPr>
        <w:ind w:firstLine="413" w:firstLineChars="196"/>
        <w:rPr>
          <w:b/>
          <w:bCs/>
          <w:snapToGrid w:val="0"/>
          <w:color w:val="000000" w:themeColor="text1"/>
          <w:kern w:val="0"/>
          <w:szCs w:val="21"/>
          <w14:textFill>
            <w14:solidFill>
              <w14:schemeClr w14:val="tx1"/>
            </w14:solidFill>
          </w14:textFill>
        </w:rPr>
      </w:pPr>
      <w:r>
        <w:rPr>
          <w:b/>
          <w:bCs/>
          <w:color w:val="000000" w:themeColor="text1"/>
          <w:szCs w:val="21"/>
          <w14:textFill>
            <w14:solidFill>
              <w14:schemeClr w14:val="tx1"/>
            </w14:solidFill>
          </w14:textFill>
        </w:rPr>
        <w:t>2</w:t>
      </w:r>
      <w:r>
        <w:rPr>
          <w:rFonts w:hint="eastAsia"/>
          <w:b/>
          <w:bCs/>
          <w:color w:val="000000" w:themeColor="text1"/>
          <w:szCs w:val="21"/>
          <w14:textFill>
            <w14:solidFill>
              <w14:schemeClr w14:val="tx1"/>
            </w14:solidFill>
          </w14:textFill>
        </w:rPr>
        <w:t>8</w:t>
      </w:r>
      <w:r>
        <w:rPr>
          <w:b/>
          <w:bCs/>
          <w:color w:val="000000" w:themeColor="text1"/>
          <w:szCs w:val="21"/>
          <w14:textFill>
            <w14:solidFill>
              <w14:schemeClr w14:val="tx1"/>
            </w14:solidFill>
          </w14:textFill>
        </w:rPr>
        <w:t>.1.4 采用评定分离的项目，</w:t>
      </w:r>
      <w:r>
        <w:rPr>
          <w:b/>
          <w:bCs/>
          <w:snapToGrid w:val="0"/>
          <w:color w:val="000000" w:themeColor="text1"/>
          <w:kern w:val="0"/>
          <w:szCs w:val="21"/>
          <w14:textFill>
            <w14:solidFill>
              <w14:schemeClr w14:val="tx1"/>
            </w14:solidFill>
          </w14:textFill>
        </w:rPr>
        <w:t>评审委员会在评标报告中根据评标总得分排序，</w:t>
      </w:r>
      <w:r>
        <w:rPr>
          <w:b/>
          <w:bCs/>
          <w:color w:val="000000" w:themeColor="text1"/>
          <w:szCs w:val="21"/>
          <w14:textFill>
            <w14:solidFill>
              <w14:schemeClr w14:val="tx1"/>
            </w14:solidFill>
          </w14:textFill>
        </w:rPr>
        <w:t>推荐三家候选中标供应商</w:t>
      </w:r>
      <w:r>
        <w:rPr>
          <w:b/>
          <w:bCs/>
          <w:snapToGrid w:val="0"/>
          <w:color w:val="000000" w:themeColor="text1"/>
          <w:kern w:val="0"/>
          <w:szCs w:val="21"/>
          <w14:textFill>
            <w14:solidFill>
              <w14:schemeClr w14:val="tx1"/>
            </w14:solidFill>
          </w14:textFill>
        </w:rPr>
        <w:t>。</w:t>
      </w:r>
    </w:p>
    <w:p>
      <w:pPr>
        <w:ind w:firstLine="413" w:firstLineChars="196"/>
        <w:rPr>
          <w:b/>
          <w:bCs/>
          <w:snapToGrid w:val="0"/>
          <w:color w:val="000000" w:themeColor="text1"/>
          <w:kern w:val="0"/>
          <w:szCs w:val="21"/>
          <w14:textFill>
            <w14:solidFill>
              <w14:schemeClr w14:val="tx1"/>
            </w14:solidFill>
          </w14:textFill>
        </w:rPr>
      </w:pPr>
      <w:r>
        <w:rPr>
          <w:b/>
          <w:bCs/>
          <w:snapToGrid w:val="0"/>
          <w:color w:val="000000" w:themeColor="text1"/>
          <w:kern w:val="0"/>
          <w:szCs w:val="21"/>
          <w14:textFill>
            <w14:solidFill>
              <w14:schemeClr w14:val="tx1"/>
            </w14:solidFill>
          </w14:textFill>
        </w:rPr>
        <w:t>2</w:t>
      </w:r>
      <w:r>
        <w:rPr>
          <w:rFonts w:hint="eastAsia"/>
          <w:b/>
          <w:bCs/>
          <w:snapToGrid w:val="0"/>
          <w:color w:val="000000" w:themeColor="text1"/>
          <w:kern w:val="0"/>
          <w:szCs w:val="21"/>
          <w14:textFill>
            <w14:solidFill>
              <w14:schemeClr w14:val="tx1"/>
            </w14:solidFill>
          </w14:textFill>
        </w:rPr>
        <w:t>8</w:t>
      </w:r>
      <w:r>
        <w:rPr>
          <w:b/>
          <w:bCs/>
          <w:snapToGrid w:val="0"/>
          <w:color w:val="000000" w:themeColor="text1"/>
          <w:kern w:val="0"/>
          <w:szCs w:val="21"/>
          <w14:textFill>
            <w14:solidFill>
              <w14:schemeClr w14:val="tx1"/>
            </w14:solidFill>
          </w14:textFill>
        </w:rPr>
        <w:t>.1.5 定标方法：</w:t>
      </w:r>
    </w:p>
    <w:p>
      <w:pPr>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2</w:t>
      </w:r>
      <w:r>
        <w:rPr>
          <w:rFonts w:hint="eastAsia"/>
          <w:b/>
          <w:color w:val="000000" w:themeColor="text1"/>
          <w:szCs w:val="21"/>
          <w14:textFill>
            <w14:solidFill>
              <w14:schemeClr w14:val="tx1"/>
            </w14:solidFill>
          </w14:textFill>
        </w:rPr>
        <w:t>8</w:t>
      </w:r>
      <w:r>
        <w:rPr>
          <w:b/>
          <w:color w:val="000000" w:themeColor="text1"/>
          <w:szCs w:val="21"/>
          <w14:textFill>
            <w14:solidFill>
              <w14:schemeClr w14:val="tx1"/>
            </w14:solidFill>
          </w14:textFill>
        </w:rPr>
        <w:t>.1.5.1 自定法：</w:t>
      </w:r>
      <w:r>
        <w:rPr>
          <w:color w:val="000000" w:themeColor="text1"/>
          <w:szCs w:val="21"/>
          <w14:textFill>
            <w14:solidFill>
              <w14:schemeClr w14:val="tx1"/>
            </w14:solidFill>
          </w14:textFill>
        </w:rPr>
        <w:t>采购人组织定标委员会，由定标委员会在候选中标供应商中确定中标供应商。</w:t>
      </w:r>
    </w:p>
    <w:p>
      <w:pPr>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2</w:t>
      </w:r>
      <w:r>
        <w:rPr>
          <w:rFonts w:hint="eastAsia"/>
          <w:b/>
          <w:color w:val="000000" w:themeColor="text1"/>
          <w:szCs w:val="21"/>
          <w14:textFill>
            <w14:solidFill>
              <w14:schemeClr w14:val="tx1"/>
            </w14:solidFill>
          </w14:textFill>
        </w:rPr>
        <w:t>8</w:t>
      </w:r>
      <w:r>
        <w:rPr>
          <w:b/>
          <w:color w:val="000000" w:themeColor="text1"/>
          <w:szCs w:val="21"/>
          <w14:textFill>
            <w14:solidFill>
              <w14:schemeClr w14:val="tx1"/>
            </w14:solidFill>
          </w14:textFill>
        </w:rPr>
        <w:t>.1.5.2抽签法：</w:t>
      </w:r>
      <w:r>
        <w:rPr>
          <w:color w:val="000000" w:themeColor="text1"/>
          <w:szCs w:val="21"/>
          <w14:textFill>
            <w14:solidFill>
              <w14:schemeClr w14:val="tx1"/>
            </w14:solidFill>
          </w14:textFill>
        </w:rPr>
        <w:t>候选中标供应商产生后，由采购人委托招标机构组织按照随机抽签的方式在候选中标供应商中确定中标供应商。</w:t>
      </w:r>
    </w:p>
    <w:p>
      <w:pPr>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2</w:t>
      </w:r>
      <w:r>
        <w:rPr>
          <w:rFonts w:hint="eastAsia"/>
          <w:b/>
          <w:color w:val="000000" w:themeColor="text1"/>
          <w:szCs w:val="21"/>
          <w14:textFill>
            <w14:solidFill>
              <w14:schemeClr w14:val="tx1"/>
            </w14:solidFill>
          </w14:textFill>
        </w:rPr>
        <w:t>8</w:t>
      </w:r>
      <w:r>
        <w:rPr>
          <w:b/>
          <w:color w:val="000000" w:themeColor="text1"/>
          <w:szCs w:val="21"/>
          <w14:textFill>
            <w14:solidFill>
              <w14:schemeClr w14:val="tx1"/>
            </w14:solidFill>
          </w14:textFill>
        </w:rPr>
        <w:t>.1.5.3竞价法：</w:t>
      </w:r>
      <w:r>
        <w:rPr>
          <w:color w:val="000000" w:themeColor="text1"/>
          <w:szCs w:val="21"/>
          <w14:textFill>
            <w14:solidFill>
              <w14:schemeClr w14:val="tx1"/>
            </w14:solidFill>
          </w14:textFill>
        </w:rPr>
        <w:t>由采购人委托招标机构组织候选中标供应商进行二次竞价，最终报价最低的为中标供应商。投标供应商的二次竞价的价格不能高于首轮投标报价。</w:t>
      </w:r>
    </w:p>
    <w:p>
      <w:pPr>
        <w:ind w:firstLine="413" w:firstLineChars="196"/>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2</w:t>
      </w:r>
      <w:r>
        <w:rPr>
          <w:rFonts w:hint="eastAsia"/>
          <w:b/>
          <w:bCs/>
          <w:color w:val="000000" w:themeColor="text1"/>
          <w:szCs w:val="21"/>
          <w14:textFill>
            <w14:solidFill>
              <w14:schemeClr w14:val="tx1"/>
            </w14:solidFill>
          </w14:textFill>
        </w:rPr>
        <w:t>8</w:t>
      </w:r>
      <w:r>
        <w:rPr>
          <w:b/>
          <w:bCs/>
          <w:color w:val="000000" w:themeColor="text1"/>
          <w:szCs w:val="21"/>
          <w14:textFill>
            <w14:solidFill>
              <w14:schemeClr w14:val="tx1"/>
            </w14:solidFill>
          </w14:textFill>
        </w:rPr>
        <w:t>.2 本项目采用的评标方法</w:t>
      </w:r>
      <w:bookmarkEnd w:id="186"/>
    </w:p>
    <w:p>
      <w:pPr>
        <w:ind w:firstLine="411" w:firstLineChars="196"/>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（请详见“关键信息——</w:t>
      </w:r>
      <w:r>
        <w:rPr>
          <w:rFonts w:hint="eastAsia"/>
          <w:bCs/>
          <w:color w:val="000000" w:themeColor="text1"/>
          <w:szCs w:val="21"/>
          <w14:textFill>
            <w14:solidFill>
              <w14:schemeClr w14:val="tx1"/>
            </w14:solidFill>
          </w14:textFill>
        </w:rPr>
        <w:t>评标信息</w:t>
      </w:r>
      <w:r>
        <w:rPr>
          <w:bCs/>
          <w:color w:val="000000" w:themeColor="text1"/>
          <w:szCs w:val="21"/>
          <w14:textFill>
            <w14:solidFill>
              <w14:schemeClr w14:val="tx1"/>
            </w14:solidFill>
          </w14:textFill>
        </w:rPr>
        <w:t>”）</w:t>
      </w:r>
    </w:p>
    <w:p>
      <w:pPr>
        <w:spacing w:line="360" w:lineRule="auto"/>
        <w:rPr>
          <w:rFonts w:eastAsia="黑体"/>
          <w:color w:val="000000" w:themeColor="text1"/>
          <w:sz w:val="24"/>
          <w14:textFill>
            <w14:solidFill>
              <w14:schemeClr w14:val="tx1"/>
            </w14:solidFill>
          </w14:textFill>
        </w:rPr>
      </w:pPr>
      <w:bookmarkStart w:id="187" w:name="_Toc73517677"/>
      <w:bookmarkStart w:id="188" w:name="_Toc73521673"/>
      <w:bookmarkStart w:id="189" w:name="_Toc73518155"/>
      <w:bookmarkStart w:id="190" w:name="_Toc100052403"/>
      <w:bookmarkStart w:id="191" w:name="_Toc60631660"/>
      <w:bookmarkStart w:id="192" w:name="_Toc60560665"/>
      <w:bookmarkStart w:id="193" w:name="_Toc73521585"/>
      <w:r>
        <w:rPr>
          <w:rFonts w:hint="eastAsia" w:eastAsia="黑体"/>
          <w:color w:val="000000" w:themeColor="text1"/>
          <w:sz w:val="24"/>
          <w14:textFill>
            <w14:solidFill>
              <w14:schemeClr w14:val="tx1"/>
            </w14:solidFill>
          </w14:textFill>
        </w:rPr>
        <w:t>29</w:t>
      </w:r>
      <w:r>
        <w:rPr>
          <w:rFonts w:eastAsia="黑体"/>
          <w:color w:val="000000" w:themeColor="text1"/>
          <w:sz w:val="24"/>
          <w14:textFill>
            <w14:solidFill>
              <w14:schemeClr w14:val="tx1"/>
            </w14:solidFill>
          </w14:textFill>
        </w:rPr>
        <w:t>．定标</w:t>
      </w:r>
      <w:bookmarkEnd w:id="187"/>
      <w:bookmarkEnd w:id="188"/>
      <w:bookmarkEnd w:id="189"/>
      <w:bookmarkEnd w:id="190"/>
      <w:bookmarkEnd w:id="191"/>
      <w:bookmarkEnd w:id="192"/>
      <w:bookmarkEnd w:id="193"/>
    </w:p>
    <w:p>
      <w:pPr>
        <w:ind w:firstLine="411" w:firstLineChars="19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29</w:t>
      </w:r>
      <w:r>
        <w:rPr>
          <w:color w:val="000000" w:themeColor="text1"/>
          <w:szCs w:val="21"/>
          <w14:textFill>
            <w14:solidFill>
              <w14:schemeClr w14:val="tx1"/>
            </w14:solidFill>
          </w14:textFill>
        </w:rPr>
        <w:t>.1评标委员会依据本招标文件所约定的评标方法进行评审和比较，向</w:t>
      </w:r>
      <w:r>
        <w:rPr>
          <w:rFonts w:hint="eastAsia"/>
          <w:color w:val="000000" w:themeColor="text1"/>
          <w:szCs w:val="21"/>
          <w14:textFill>
            <w14:solidFill>
              <w14:schemeClr w14:val="tx1"/>
            </w14:solidFill>
          </w14:textFill>
        </w:rPr>
        <w:t>招标方</w:t>
      </w:r>
      <w:r>
        <w:rPr>
          <w:color w:val="000000" w:themeColor="text1"/>
          <w:szCs w:val="21"/>
          <w14:textFill>
            <w14:solidFill>
              <w14:schemeClr w14:val="tx1"/>
            </w14:solidFill>
          </w14:textFill>
        </w:rPr>
        <w:t>提交书面评标报告，并根据评标方法比较评价结果从优到劣进行排序，并推荐中标候选人或确定中标供应商；</w:t>
      </w:r>
    </w:p>
    <w:p>
      <w:pPr>
        <w:ind w:firstLine="411" w:firstLineChars="19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29</w:t>
      </w:r>
      <w:r>
        <w:rPr>
          <w:color w:val="000000" w:themeColor="text1"/>
          <w:szCs w:val="21"/>
          <w14:textFill>
            <w14:solidFill>
              <w14:schemeClr w14:val="tx1"/>
            </w14:solidFill>
          </w14:textFill>
        </w:rPr>
        <w:t>.2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供应商的中标资格，按顺序由排在后面的供应商递补，以此类推。对是否满足实质性要求或报价是否合理或是否低于成本，评委会意见不一致时，按少数服从多数原则作出决定。</w:t>
      </w:r>
    </w:p>
    <w:p>
      <w:pPr>
        <w:ind w:firstLine="411" w:firstLineChars="19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29</w:t>
      </w:r>
      <w:r>
        <w:rPr>
          <w:color w:val="000000" w:themeColor="text1"/>
          <w:szCs w:val="21"/>
          <w14:textFill>
            <w14:solidFill>
              <w14:schemeClr w14:val="tx1"/>
            </w14:solidFill>
          </w14:textFill>
        </w:rPr>
        <w:t>.3采用综合评分法的，按评审后得分由高到低顺序排列。得分相同的，按投标报价由低到高顺序排列。得分且投标报价相同的，按技术指标优劣顺序排列。</w:t>
      </w:r>
    </w:p>
    <w:p>
      <w:pPr>
        <w:ind w:firstLine="411" w:firstLineChars="19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29</w:t>
      </w:r>
      <w:r>
        <w:rPr>
          <w:color w:val="000000" w:themeColor="text1"/>
          <w:szCs w:val="21"/>
          <w14:textFill>
            <w14:solidFill>
              <w14:schemeClr w14:val="tx1"/>
            </w14:solidFill>
          </w14:textFill>
        </w:rPr>
        <w:t>.4采用性价比法的，按商数得分由高到低顺序排列。商数得分相同的，按投标报价由低到高顺序排列。商数得分且投标报价相同的，按技术指标优劣顺序排列。</w:t>
      </w:r>
    </w:p>
    <w:p>
      <w:pPr>
        <w:spacing w:line="360" w:lineRule="auto"/>
        <w:rPr>
          <w:rFonts w:eastAsia="黑体"/>
          <w:color w:val="000000" w:themeColor="text1"/>
          <w:sz w:val="24"/>
          <w14:textFill>
            <w14:solidFill>
              <w14:schemeClr w14:val="tx1"/>
            </w14:solidFill>
          </w14:textFill>
        </w:rPr>
      </w:pPr>
      <w:bookmarkStart w:id="194" w:name="_Toc100052404"/>
      <w:r>
        <w:rPr>
          <w:rFonts w:eastAsia="黑体"/>
          <w:color w:val="000000" w:themeColor="text1"/>
          <w:sz w:val="24"/>
          <w14:textFill>
            <w14:solidFill>
              <w14:schemeClr w14:val="tx1"/>
            </w14:solidFill>
          </w14:textFill>
        </w:rPr>
        <w:t>3</w:t>
      </w:r>
      <w:r>
        <w:rPr>
          <w:rFonts w:hint="eastAsia" w:eastAsia="黑体"/>
          <w:color w:val="000000" w:themeColor="text1"/>
          <w:sz w:val="24"/>
          <w14:textFill>
            <w14:solidFill>
              <w14:schemeClr w14:val="tx1"/>
            </w14:solidFill>
          </w14:textFill>
        </w:rPr>
        <w:t>0</w:t>
      </w:r>
      <w:r>
        <w:rPr>
          <w:rFonts w:eastAsia="黑体"/>
          <w:color w:val="000000" w:themeColor="text1"/>
          <w:sz w:val="24"/>
          <w14:textFill>
            <w14:solidFill>
              <w14:schemeClr w14:val="tx1"/>
            </w14:solidFill>
          </w14:textFill>
        </w:rPr>
        <w:t>．编写评标报告</w:t>
      </w:r>
      <w:bookmarkEnd w:id="194"/>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spacing w:line="360" w:lineRule="auto"/>
        <w:rPr>
          <w:rFonts w:eastAsia="黑体"/>
          <w:color w:val="000000" w:themeColor="text1"/>
          <w:sz w:val="24"/>
          <w14:textFill>
            <w14:solidFill>
              <w14:schemeClr w14:val="tx1"/>
            </w14:solidFill>
          </w14:textFill>
        </w:rPr>
      </w:pPr>
      <w:bookmarkStart w:id="195" w:name="_Toc100052405"/>
      <w:bookmarkStart w:id="196" w:name="_Toc73521588"/>
      <w:bookmarkStart w:id="197" w:name="_Toc73521676"/>
      <w:bookmarkStart w:id="198" w:name="_Toc73517681"/>
      <w:bookmarkStart w:id="199" w:name="_Toc73518159"/>
      <w:r>
        <w:rPr>
          <w:rFonts w:eastAsia="黑体"/>
          <w:color w:val="000000" w:themeColor="text1"/>
          <w:sz w:val="24"/>
          <w14:textFill>
            <w14:solidFill>
              <w14:schemeClr w14:val="tx1"/>
            </w14:solidFill>
          </w14:textFill>
        </w:rPr>
        <w:t>3</w:t>
      </w:r>
      <w:r>
        <w:rPr>
          <w:rFonts w:hint="eastAsia" w:eastAsia="黑体"/>
          <w:color w:val="000000" w:themeColor="text1"/>
          <w:sz w:val="24"/>
          <w14:textFill>
            <w14:solidFill>
              <w14:schemeClr w14:val="tx1"/>
            </w14:solidFill>
          </w14:textFill>
        </w:rPr>
        <w:t>1</w:t>
      </w:r>
      <w:r>
        <w:rPr>
          <w:rFonts w:eastAsia="黑体"/>
          <w:color w:val="000000" w:themeColor="text1"/>
          <w:sz w:val="24"/>
          <w14:textFill>
            <w14:solidFill>
              <w14:schemeClr w14:val="tx1"/>
            </w14:solidFill>
          </w14:textFill>
        </w:rPr>
        <w:t>．中标结果及中标通知书</w:t>
      </w:r>
      <w:bookmarkEnd w:id="195"/>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.1为体现“公开、公平、公正”的原则，评标结束后，</w:t>
      </w:r>
      <w:r>
        <w:rPr>
          <w:rFonts w:hint="eastAsia"/>
          <w:color w:val="000000" w:themeColor="text1"/>
          <w:szCs w:val="21"/>
          <w14:textFill>
            <w14:solidFill>
              <w14:schemeClr w14:val="tx1"/>
            </w14:solidFill>
          </w14:textFill>
        </w:rPr>
        <w:t>招标方</w:t>
      </w:r>
      <w:r>
        <w:rPr>
          <w:color w:val="000000" w:themeColor="text1"/>
          <w:szCs w:val="21"/>
          <w14:textFill>
            <w14:solidFill>
              <w14:schemeClr w14:val="tx1"/>
            </w14:solidFill>
          </w14:textFill>
        </w:rPr>
        <w:t>将在</w:t>
      </w:r>
      <w:r>
        <w:rPr>
          <w:rFonts w:hint="eastAsia"/>
          <w:color w:val="000000" w:themeColor="text1"/>
          <w:szCs w:val="21"/>
          <w14:textFill>
            <w14:solidFill>
              <w14:schemeClr w14:val="tx1"/>
            </w14:solidFill>
          </w14:textFill>
        </w:rPr>
        <w:t>哈尔滨工业大学（深圳）官网（www.hitsz.edu.cn）</w:t>
      </w:r>
      <w:r>
        <w:rPr>
          <w:color w:val="000000" w:themeColor="text1"/>
          <w:szCs w:val="21"/>
          <w14:textFill>
            <w14:solidFill>
              <w14:schemeClr w14:val="tx1"/>
            </w14:solidFill>
          </w14:textFill>
        </w:rPr>
        <w:t>上发布中标结果公告，公示期为3个工作日。供应商如对评标结果有异议，请于公示期内，以书面形式向</w:t>
      </w:r>
      <w:r>
        <w:rPr>
          <w:rFonts w:hint="eastAsia"/>
          <w:color w:val="000000" w:themeColor="text1"/>
          <w:szCs w:val="21"/>
          <w14:textFill>
            <w14:solidFill>
              <w14:schemeClr w14:val="tx1"/>
            </w14:solidFill>
          </w14:textFill>
        </w:rPr>
        <w:t>招标方</w:t>
      </w:r>
      <w:r>
        <w:rPr>
          <w:color w:val="000000" w:themeColor="text1"/>
          <w:szCs w:val="21"/>
          <w14:textFill>
            <w14:solidFill>
              <w14:schemeClr w14:val="tx1"/>
            </w14:solidFill>
          </w14:textFill>
        </w:rPr>
        <w:t>反映。若在公示期内未提出异议，则视为认同该评标结果。</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.2评标委员会不直接向未通过符合性检查的投标人或者未中标的投标人解释落标原因，也不退还投标文件。</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.3质疑投诉人应保证质疑投诉内容的真实性和可靠性，并承担相应的法律责任。</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.4项目质疑受理程序：</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.4.1</w:t>
      </w:r>
      <w:r>
        <w:rPr>
          <w:rFonts w:hint="eastAsia"/>
          <w:color w:val="000000" w:themeColor="text1"/>
          <w:szCs w:val="21"/>
          <w14:textFill>
            <w14:solidFill>
              <w14:schemeClr w14:val="tx1"/>
            </w14:solidFill>
          </w14:textFill>
        </w:rPr>
        <w:t>招标方</w:t>
      </w:r>
      <w:r>
        <w:rPr>
          <w:color w:val="000000" w:themeColor="text1"/>
          <w:szCs w:val="21"/>
          <w14:textFill>
            <w14:solidFill>
              <w14:schemeClr w14:val="tx1"/>
            </w14:solidFill>
          </w14:textFill>
        </w:rPr>
        <w:t>统一对外受理项目质疑资料。供应商认为其权益受到损害的，应当自知道或者应当知道其权益受到损害之日起五个工作日内向</w:t>
      </w:r>
      <w:r>
        <w:rPr>
          <w:rFonts w:hint="eastAsia"/>
          <w:color w:val="000000" w:themeColor="text1"/>
          <w:szCs w:val="21"/>
          <w14:textFill>
            <w14:solidFill>
              <w14:schemeClr w14:val="tx1"/>
            </w14:solidFill>
          </w14:textFill>
        </w:rPr>
        <w:t>招标方</w:t>
      </w:r>
      <w:r>
        <w:rPr>
          <w:color w:val="000000" w:themeColor="text1"/>
          <w:szCs w:val="21"/>
          <w14:textFill>
            <w14:solidFill>
              <w14:schemeClr w14:val="tx1"/>
            </w14:solidFill>
          </w14:textFill>
        </w:rPr>
        <w:t>以书面形式提出质疑，并提供相应的证据。对于逾期及不符合质疑条件的，不予受理。</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受理程序需要审核的资料：供应商提供书面的质疑函件（原件且加盖公司公章）以及相关质疑内容的证明材料、法定代表人证明书、授权委托书（应当载明委托代理的事项和具体权限）、经办人身份证原件及复印件（加盖公章），如果没有超过质疑的有效期限且资料齐全，</w:t>
      </w:r>
      <w:r>
        <w:rPr>
          <w:rFonts w:hint="eastAsia"/>
          <w:color w:val="000000" w:themeColor="text1"/>
          <w:szCs w:val="21"/>
          <w14:textFill>
            <w14:solidFill>
              <w14:schemeClr w14:val="tx1"/>
            </w14:solidFill>
          </w14:textFill>
        </w:rPr>
        <w:t>招标方</w:t>
      </w:r>
      <w:r>
        <w:rPr>
          <w:color w:val="000000" w:themeColor="text1"/>
          <w:szCs w:val="21"/>
          <w14:textFill>
            <w14:solidFill>
              <w14:schemeClr w14:val="tx1"/>
            </w14:solidFill>
          </w14:textFill>
        </w:rPr>
        <w:t>将打印《质疑受理回执》加盖公司公章给予供应商。</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质疑函应当包括下列主要内容：</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（一）有明确的质疑请求；</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（二）有明确的质疑对象；</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（三）因质疑事项而受到损害的权益；</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（四）有合理的事实和依据；</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（五）法律、法规和规章规定的其他材料；</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（六）其他。</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质疑函中应当写明被质疑采购项目的名称和编号，应当写明单位全称、地址、邮政编码、有效联系人和联系电话。</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4.2异地供应商质疑可传真函件进行预受理，但供应商必须在发出传真函件后5个工作日内将资料原件【供应商提供书面的质疑函件（原件且加盖公司公章）以及相关质疑内容的证明材料、法定代表人证明书、授权委托书（应当载明委托代理的事项和具体权限）、经办人身份证原件及复印件（加盖公章）】提交至</w:t>
      </w:r>
      <w:r>
        <w:rPr>
          <w:rFonts w:hint="eastAsia"/>
          <w:color w:val="000000" w:themeColor="text1"/>
          <w:szCs w:val="21"/>
          <w14:textFill>
            <w14:solidFill>
              <w14:schemeClr w14:val="tx1"/>
            </w14:solidFill>
          </w14:textFill>
        </w:rPr>
        <w:t>招标方</w:t>
      </w:r>
      <w:r>
        <w:rPr>
          <w:color w:val="000000" w:themeColor="text1"/>
          <w:szCs w:val="21"/>
          <w14:textFill>
            <w14:solidFill>
              <w14:schemeClr w14:val="tx1"/>
            </w14:solidFill>
          </w14:textFill>
        </w:rPr>
        <w:t>，或邮政快递至</w:t>
      </w:r>
      <w:r>
        <w:rPr>
          <w:rFonts w:hint="eastAsia"/>
          <w:color w:val="000000" w:themeColor="text1"/>
          <w:szCs w:val="21"/>
          <w14:textFill>
            <w14:solidFill>
              <w14:schemeClr w14:val="tx1"/>
            </w14:solidFill>
          </w14:textFill>
        </w:rPr>
        <w:t>招标方处</w:t>
      </w:r>
      <w:r>
        <w:rPr>
          <w:color w:val="000000" w:themeColor="text1"/>
          <w:szCs w:val="21"/>
          <w14:textFill>
            <w14:solidFill>
              <w14:schemeClr w14:val="tx1"/>
            </w14:solidFill>
          </w14:textFill>
        </w:rPr>
        <w:t>再给予正式受理。</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.5中标公告公布以后，公示期内无人投诉，</w:t>
      </w:r>
      <w:r>
        <w:rPr>
          <w:rFonts w:hint="eastAsia"/>
          <w:color w:val="000000" w:themeColor="text1"/>
          <w:szCs w:val="21"/>
          <w14:textFill>
            <w14:solidFill>
              <w14:schemeClr w14:val="tx1"/>
            </w14:solidFill>
          </w14:textFill>
        </w:rPr>
        <w:t>招标方</w:t>
      </w:r>
      <w:r>
        <w:rPr>
          <w:color w:val="000000" w:themeColor="text1"/>
          <w:szCs w:val="21"/>
          <w14:textFill>
            <w14:solidFill>
              <w14:schemeClr w14:val="tx1"/>
            </w14:solidFill>
          </w14:textFill>
        </w:rPr>
        <w:t>将通知中标供应商在公示期结束后五个工作日内到招标</w:t>
      </w:r>
      <w:r>
        <w:rPr>
          <w:rFonts w:hint="eastAsia"/>
          <w:color w:val="000000" w:themeColor="text1"/>
          <w:szCs w:val="21"/>
          <w14:textFill>
            <w14:solidFill>
              <w14:schemeClr w14:val="tx1"/>
            </w14:solidFill>
          </w14:textFill>
        </w:rPr>
        <w:t>方处</w:t>
      </w:r>
      <w:r>
        <w:rPr>
          <w:color w:val="000000" w:themeColor="text1"/>
          <w:szCs w:val="21"/>
          <w14:textFill>
            <w14:solidFill>
              <w14:schemeClr w14:val="tx1"/>
            </w14:solidFill>
          </w14:textFill>
        </w:rPr>
        <w:t>领取《中标通知书》</w:t>
      </w:r>
      <w:bookmarkEnd w:id="196"/>
      <w:bookmarkEnd w:id="197"/>
      <w:bookmarkEnd w:id="198"/>
      <w:bookmarkEnd w:id="199"/>
      <w:r>
        <w:rPr>
          <w:color w:val="000000" w:themeColor="text1"/>
          <w:szCs w:val="21"/>
          <w14:textFill>
            <w14:solidFill>
              <w14:schemeClr w14:val="tx1"/>
            </w14:solidFill>
          </w14:textFill>
        </w:rPr>
        <w:t>。</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.6中标通知书是合同的重要组成部分。</w:t>
      </w:r>
    </w:p>
    <w:p>
      <w:pPr>
        <w:pStyle w:val="4"/>
        <w:numPr>
          <w:ilvl w:val="0"/>
          <w:numId w:val="1"/>
        </w:numPr>
        <w:adjustRightInd w:val="0"/>
        <w:spacing w:before="156" w:beforeLines="50" w:after="156" w:afterLines="50" w:line="240" w:lineRule="auto"/>
        <w:jc w:val="center"/>
        <w:textAlignment w:val="baseline"/>
        <w:rPr>
          <w:rFonts w:ascii="Times New Roman" w:hAnsi="Times New Roman"/>
          <w:color w:val="000000" w:themeColor="text1"/>
          <w:sz w:val="28"/>
          <w:szCs w:val="28"/>
          <w14:textFill>
            <w14:solidFill>
              <w14:schemeClr w14:val="tx1"/>
            </w14:solidFill>
          </w14:textFill>
        </w:rPr>
      </w:pPr>
      <w:bookmarkStart w:id="200" w:name="bt合同的授予"/>
      <w:bookmarkEnd w:id="200"/>
      <w:bookmarkStart w:id="201" w:name="_Toc100052407"/>
      <w:bookmarkStart w:id="202" w:name="_Toc101074884"/>
      <w:bookmarkStart w:id="203" w:name="_Toc73518156"/>
      <w:bookmarkStart w:id="204" w:name="_Toc73517678"/>
      <w:r>
        <w:rPr>
          <w:rFonts w:ascii="Times New Roman" w:hAnsi="Times New Roman"/>
          <w:color w:val="000000" w:themeColor="text1"/>
          <w:sz w:val="28"/>
          <w:szCs w:val="28"/>
          <w14:textFill>
            <w14:solidFill>
              <w14:schemeClr w14:val="tx1"/>
            </w14:solidFill>
          </w14:textFill>
        </w:rPr>
        <w:t>公开招标失败的后续处理</w:t>
      </w:r>
    </w:p>
    <w:p>
      <w:pPr>
        <w:spacing w:line="360" w:lineRule="auto"/>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3</w:t>
      </w:r>
      <w:r>
        <w:rPr>
          <w:rFonts w:hint="eastAsia" w:eastAsia="黑体"/>
          <w:color w:val="000000" w:themeColor="text1"/>
          <w:sz w:val="24"/>
          <w14:textFill>
            <w14:solidFill>
              <w14:schemeClr w14:val="tx1"/>
            </w14:solidFill>
          </w14:textFill>
        </w:rPr>
        <w:t>2</w:t>
      </w:r>
      <w:r>
        <w:rPr>
          <w:rFonts w:eastAsia="黑体"/>
          <w:color w:val="000000" w:themeColor="text1"/>
          <w:sz w:val="24"/>
          <w14:textFill>
            <w14:solidFill>
              <w14:schemeClr w14:val="tx1"/>
            </w14:solidFill>
          </w14:textFill>
        </w:rPr>
        <w:t>．公开招标失败的处理</w:t>
      </w:r>
    </w:p>
    <w:p>
      <w:pPr>
        <w:ind w:firstLine="411" w:firstLineChars="196"/>
        <w:rPr>
          <w:color w:val="000000" w:themeColor="text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.1本项目公开招标过程中若由于投标截止后</w:t>
      </w:r>
      <w:r>
        <w:rPr>
          <w:color w:val="000000" w:themeColor="text1"/>
          <w14:textFill>
            <w14:solidFill>
              <w14:schemeClr w14:val="tx1"/>
            </w14:solidFill>
          </w14:textFill>
        </w:rPr>
        <w:t>实际递交投标文件的供应商数量不足、经评标委员会评审对招标文件作实质响应的供应商不足等原因造成公开招标失败，可由</w:t>
      </w:r>
      <w:r>
        <w:rPr>
          <w:rFonts w:hint="eastAsia"/>
          <w:color w:val="000000" w:themeColor="text1"/>
          <w14:textFill>
            <w14:solidFill>
              <w14:schemeClr w14:val="tx1"/>
            </w14:solidFill>
          </w14:textFill>
        </w:rPr>
        <w:t>招标方</w:t>
      </w:r>
      <w:r>
        <w:rPr>
          <w:color w:val="000000" w:themeColor="text1"/>
          <w14:textFill>
            <w14:solidFill>
              <w14:schemeClr w14:val="tx1"/>
            </w14:solidFill>
          </w14:textFill>
        </w:rPr>
        <w:t>重新组织采购。</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.2对公开招标失败的项目，评标委员会必须在出具该项目招标失败结论的同时，提出重新采购组织形式的建议，以及进一步完善招标文件的资格、技术、商务要求的修改建议。</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.3重新组织采购有以下两种组织形式：</w:t>
      </w:r>
    </w:p>
    <w:p>
      <w:pPr>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（1）由</w:t>
      </w:r>
      <w:r>
        <w:rPr>
          <w:rFonts w:hint="eastAsia"/>
          <w:color w:val="000000" w:themeColor="text1"/>
          <w14:textFill>
            <w14:solidFill>
              <w14:schemeClr w14:val="tx1"/>
            </w14:solidFill>
          </w14:textFill>
        </w:rPr>
        <w:t>招标方</w:t>
      </w:r>
      <w:r>
        <w:rPr>
          <w:color w:val="000000" w:themeColor="text1"/>
          <w14:textFill>
            <w14:solidFill>
              <w14:schemeClr w14:val="tx1"/>
            </w14:solidFill>
          </w14:textFill>
        </w:rPr>
        <w:t>重新组织公开招标；</w:t>
      </w:r>
    </w:p>
    <w:p>
      <w:pPr>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（2）根据实际情况</w:t>
      </w:r>
      <w:r>
        <w:rPr>
          <w:rFonts w:hint="eastAsia"/>
          <w:color w:val="000000" w:themeColor="text1"/>
          <w14:textFill>
            <w14:solidFill>
              <w14:schemeClr w14:val="tx1"/>
            </w14:solidFill>
          </w14:textFill>
        </w:rPr>
        <w:t>，经有关部门批准，</w:t>
      </w:r>
      <w:r>
        <w:rPr>
          <w:color w:val="000000" w:themeColor="text1"/>
          <w14:textFill>
            <w14:solidFill>
              <w14:schemeClr w14:val="tx1"/>
            </w14:solidFill>
          </w14:textFill>
        </w:rPr>
        <w:t>转为竞争性谈判或单一来源谈判方式采购。</w:t>
      </w:r>
    </w:p>
    <w:p>
      <w:pPr>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.4公开招标失败的采购项目重新组织公开招标，</w:t>
      </w:r>
      <w:r>
        <w:rPr>
          <w:rFonts w:hint="eastAsia"/>
          <w:color w:val="000000" w:themeColor="text1"/>
          <w14:textFill>
            <w14:solidFill>
              <w14:schemeClr w14:val="tx1"/>
            </w14:solidFill>
          </w14:textFill>
        </w:rPr>
        <w:t>招标方</w:t>
      </w:r>
      <w:r>
        <w:rPr>
          <w:color w:val="000000" w:themeColor="text1"/>
          <w14:textFill>
            <w14:solidFill>
              <w14:schemeClr w14:val="tx1"/>
            </w14:solidFill>
          </w14:textFill>
        </w:rPr>
        <w:t>要重新按公开招标流程发布招标公告和招标文件、组成评标委员会等组织采购活动。</w:t>
      </w:r>
    </w:p>
    <w:p>
      <w:pPr>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.5公开招标失败的采购项目经</w:t>
      </w:r>
      <w:r>
        <w:rPr>
          <w:rFonts w:hint="eastAsia"/>
          <w:color w:val="000000" w:themeColor="text1"/>
          <w14:textFill>
            <w14:solidFill>
              <w14:schemeClr w14:val="tx1"/>
            </w14:solidFill>
          </w14:textFill>
        </w:rPr>
        <w:t>有关部门批准</w:t>
      </w:r>
      <w:r>
        <w:rPr>
          <w:color w:val="000000" w:themeColor="text1"/>
          <w14:textFill>
            <w14:solidFill>
              <w14:schemeClr w14:val="tx1"/>
            </w14:solidFill>
          </w14:textFill>
        </w:rPr>
        <w:t>转为竞争性谈判或单一来源谈判方式采购的，可不另行制作谈判文件，</w:t>
      </w:r>
      <w:r>
        <w:rPr>
          <w:rFonts w:hint="eastAsia"/>
          <w:color w:val="000000" w:themeColor="text1"/>
          <w14:textFill>
            <w14:solidFill>
              <w14:schemeClr w14:val="tx1"/>
            </w14:solidFill>
          </w14:textFill>
        </w:rPr>
        <w:t>招标方</w:t>
      </w:r>
      <w:r>
        <w:rPr>
          <w:color w:val="000000" w:themeColor="text1"/>
          <w14:textFill>
            <w14:solidFill>
              <w14:schemeClr w14:val="tx1"/>
            </w14:solidFill>
          </w14:textFill>
        </w:rPr>
        <w:t>可就原招标文件中资质、技术及评标方法等变动情况向拟谈判对象发出谈判邀请，与原招标文件具同等效力，变动部分以谈判邀请文件为准。转为竞争性谈判或单一来源谈判方式采购的，供应商的原投标文件转为谈判应答文件。</w:t>
      </w:r>
    </w:p>
    <w:p>
      <w:pPr>
        <w:spacing w:line="360" w:lineRule="auto"/>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3</w:t>
      </w:r>
      <w:r>
        <w:rPr>
          <w:rFonts w:hint="eastAsia" w:eastAsia="黑体"/>
          <w:color w:val="000000" w:themeColor="text1"/>
          <w:sz w:val="24"/>
          <w14:textFill>
            <w14:solidFill>
              <w14:schemeClr w14:val="tx1"/>
            </w14:solidFill>
          </w14:textFill>
        </w:rPr>
        <w:t>3</w:t>
      </w:r>
      <w:r>
        <w:rPr>
          <w:rFonts w:eastAsia="黑体"/>
          <w:color w:val="000000" w:themeColor="text1"/>
          <w:sz w:val="24"/>
          <w14:textFill>
            <w14:solidFill>
              <w14:schemeClr w14:val="tx1"/>
            </w14:solidFill>
          </w14:textFill>
        </w:rPr>
        <w:t>．公开招标失败项目转为竞争性谈判方式采购</w:t>
      </w:r>
    </w:p>
    <w:p>
      <w:pPr>
        <w:ind w:firstLine="413" w:firstLineChars="196"/>
        <w:rPr>
          <w:b/>
          <w:color w:val="000000" w:themeColor="text1"/>
          <w:szCs w:val="21"/>
          <w14:textFill>
            <w14:solidFill>
              <w14:schemeClr w14:val="tx1"/>
            </w14:solidFill>
          </w14:textFill>
        </w:rPr>
      </w:pPr>
      <w:r>
        <w:rPr>
          <w:b/>
          <w:color w:val="000000" w:themeColor="text1"/>
          <w:szCs w:val="21"/>
          <w14:textFill>
            <w14:solidFill>
              <w14:schemeClr w14:val="tx1"/>
            </w14:solidFill>
          </w14:textFill>
        </w:rPr>
        <w:t>3</w:t>
      </w:r>
      <w:r>
        <w:rPr>
          <w:rFonts w:hint="eastAsia"/>
          <w:b/>
          <w:color w:val="000000" w:themeColor="text1"/>
          <w:szCs w:val="21"/>
          <w14:textFill>
            <w14:solidFill>
              <w14:schemeClr w14:val="tx1"/>
            </w14:solidFill>
          </w14:textFill>
        </w:rPr>
        <w:t>3</w:t>
      </w:r>
      <w:r>
        <w:rPr>
          <w:b/>
          <w:color w:val="000000" w:themeColor="text1"/>
          <w:szCs w:val="21"/>
          <w14:textFill>
            <w14:solidFill>
              <w14:schemeClr w14:val="tx1"/>
            </w14:solidFill>
          </w14:textFill>
        </w:rPr>
        <w:t>.1谈判小组</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3</w:t>
      </w:r>
      <w:r>
        <w:rPr>
          <w:color w:val="000000" w:themeColor="text1"/>
          <w:szCs w:val="21"/>
          <w14:textFill>
            <w14:solidFill>
              <w14:schemeClr w14:val="tx1"/>
            </w14:solidFill>
          </w14:textFill>
        </w:rPr>
        <w:t>.1.1公开招标失败项目转为竞争性谈判方式采购后，评标委员会转为谈判小组，</w:t>
      </w:r>
      <w:r>
        <w:rPr>
          <w:color w:val="000000" w:themeColor="text1"/>
          <w14:textFill>
            <w14:solidFill>
              <w14:schemeClr w14:val="tx1"/>
            </w14:solidFill>
          </w14:textFill>
        </w:rPr>
        <w:t>谈判小组成员</w:t>
      </w:r>
      <w:r>
        <w:rPr>
          <w:rFonts w:hint="eastAsia"/>
          <w:color w:val="000000" w:themeColor="text1"/>
          <w14:textFill>
            <w14:solidFill>
              <w14:schemeClr w14:val="tx1"/>
            </w14:solidFill>
          </w14:textFill>
        </w:rPr>
        <w:t>由招标方</w:t>
      </w:r>
      <w:r>
        <w:rPr>
          <w:color w:val="000000" w:themeColor="text1"/>
          <w14:textFill>
            <w14:solidFill>
              <w14:schemeClr w14:val="tx1"/>
            </w14:solidFill>
          </w14:textFill>
        </w:rPr>
        <w:t>代表和有关专家共3人以上（含3人）的单数组成；其中专家的人数不得少于成员总数的三分之二；专家可重新抽取也可继续采用评标委员会内专家。</w:t>
      </w:r>
    </w:p>
    <w:p>
      <w:pPr>
        <w:tabs>
          <w:tab w:val="left" w:pos="-1080"/>
        </w:tabs>
        <w:ind w:firstLine="420" w:firstLineChars="200"/>
        <w:rPr>
          <w:color w:val="000000" w:themeColor="text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3</w:t>
      </w:r>
      <w:r>
        <w:rPr>
          <w:color w:val="000000" w:themeColor="text1"/>
          <w:szCs w:val="21"/>
          <w14:textFill>
            <w14:solidFill>
              <w14:schemeClr w14:val="tx1"/>
            </w14:solidFill>
          </w14:textFill>
        </w:rPr>
        <w:t>.1.2</w:t>
      </w:r>
      <w:r>
        <w:rPr>
          <w:color w:val="000000" w:themeColor="text1"/>
          <w14:textFill>
            <w14:solidFill>
              <w14:schemeClr w14:val="tx1"/>
            </w14:solidFill>
          </w14:textFill>
        </w:rPr>
        <w:t>谈判前，谈判小组将对各供应商的谈判应答文件进行审查，</w:t>
      </w:r>
      <w:r>
        <w:rPr>
          <w:bCs/>
          <w:color w:val="000000" w:themeColor="text1"/>
          <w14:textFill>
            <w14:solidFill>
              <w14:schemeClr w14:val="tx1"/>
            </w14:solidFill>
          </w14:textFill>
        </w:rPr>
        <w:t>当谈判应答文件出现下列情况之一的将视为无效，按废标处理，不得进入谈判，</w:t>
      </w:r>
      <w:r>
        <w:rPr>
          <w:b/>
          <w:color w:val="000000" w:themeColor="text1"/>
          <w14:textFill>
            <w14:solidFill>
              <w14:schemeClr w14:val="tx1"/>
            </w14:solidFill>
          </w14:textFill>
        </w:rPr>
        <w:t>具体内容见原招标文件中投标文件初审表的《资格性检查表》部分以及谈判邀请中相应的变动部分。</w:t>
      </w:r>
    </w:p>
    <w:p>
      <w:pPr>
        <w:ind w:firstLine="413" w:firstLineChars="196"/>
        <w:rPr>
          <w:b/>
          <w:color w:val="000000" w:themeColor="text1"/>
          <w:szCs w:val="21"/>
          <w14:textFill>
            <w14:solidFill>
              <w14:schemeClr w14:val="tx1"/>
            </w14:solidFill>
          </w14:textFill>
        </w:rPr>
      </w:pPr>
      <w:r>
        <w:rPr>
          <w:b/>
          <w:color w:val="000000" w:themeColor="text1"/>
          <w:szCs w:val="21"/>
          <w14:textFill>
            <w14:solidFill>
              <w14:schemeClr w14:val="tx1"/>
            </w14:solidFill>
          </w14:textFill>
        </w:rPr>
        <w:t>3</w:t>
      </w:r>
      <w:r>
        <w:rPr>
          <w:rFonts w:hint="eastAsia"/>
          <w:b/>
          <w:color w:val="000000" w:themeColor="text1"/>
          <w:szCs w:val="21"/>
          <w14:textFill>
            <w14:solidFill>
              <w14:schemeClr w14:val="tx1"/>
            </w14:solidFill>
          </w14:textFill>
        </w:rPr>
        <w:t>3</w:t>
      </w:r>
      <w:r>
        <w:rPr>
          <w:b/>
          <w:color w:val="000000" w:themeColor="text1"/>
          <w:szCs w:val="21"/>
          <w14:textFill>
            <w14:solidFill>
              <w14:schemeClr w14:val="tx1"/>
            </w14:solidFill>
          </w14:textFill>
        </w:rPr>
        <w:t>.2谈判程序</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3</w:t>
      </w:r>
      <w:r>
        <w:rPr>
          <w:color w:val="000000" w:themeColor="text1"/>
          <w:szCs w:val="21"/>
          <w14:textFill>
            <w14:solidFill>
              <w14:schemeClr w14:val="tx1"/>
            </w14:solidFill>
          </w14:textFill>
        </w:rPr>
        <w:t>.2.1参加谈判的供应商和谈判小组成员填写谈判登记表，并交验证明文件（法定代表人证明书、法人授权委托书、被授权的谈判代表身份证原件）。</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3</w:t>
      </w:r>
      <w:r>
        <w:rPr>
          <w:color w:val="000000" w:themeColor="text1"/>
          <w:szCs w:val="21"/>
          <w14:textFill>
            <w14:solidFill>
              <w14:schemeClr w14:val="tx1"/>
            </w14:solidFill>
          </w14:textFill>
        </w:rPr>
        <w:t>.2.2谈判小组主持人宣布谈判规则和谈判纪律。</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3</w:t>
      </w:r>
      <w:r>
        <w:rPr>
          <w:color w:val="000000" w:themeColor="text1"/>
          <w:szCs w:val="21"/>
          <w14:textFill>
            <w14:solidFill>
              <w14:schemeClr w14:val="tx1"/>
            </w14:solidFill>
          </w14:textFill>
        </w:rPr>
        <w:t>.2.3在谈判中，谈判小组将就以下谈判内容跟供应商进行谈判：</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（1）项目方案；</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（2）报价；</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（3）其它相关事项。</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原招标文件或谈判邀请文件有实质性变动的，谈判小组应当通过</w:t>
      </w:r>
      <w:r>
        <w:rPr>
          <w:rFonts w:hint="eastAsia"/>
          <w:color w:val="000000" w:themeColor="text1"/>
          <w:szCs w:val="21"/>
          <w14:textFill>
            <w14:solidFill>
              <w14:schemeClr w14:val="tx1"/>
            </w14:solidFill>
          </w14:textFill>
        </w:rPr>
        <w:t>招标方</w:t>
      </w:r>
      <w:r>
        <w:rPr>
          <w:color w:val="000000" w:themeColor="text1"/>
          <w:szCs w:val="21"/>
          <w14:textFill>
            <w14:solidFill>
              <w14:schemeClr w14:val="tx1"/>
            </w14:solidFill>
          </w14:textFill>
        </w:rPr>
        <w:t>通知所有参加谈判的供应商。</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3</w:t>
      </w:r>
      <w:r>
        <w:rPr>
          <w:color w:val="000000" w:themeColor="text1"/>
          <w:szCs w:val="21"/>
          <w14:textFill>
            <w14:solidFill>
              <w14:schemeClr w14:val="tx1"/>
            </w14:solidFill>
          </w14:textFill>
        </w:rPr>
        <w:t>.2.4谈判小组可以用书面形式要求各供应商对其谈判应答文件含义不明确的内容作必要的澄清或者说明，重要问题供应商应以书面形式进行澄清、说明。</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3</w:t>
      </w:r>
      <w:r>
        <w:rPr>
          <w:color w:val="000000" w:themeColor="text1"/>
          <w:szCs w:val="21"/>
          <w14:textFill>
            <w14:solidFill>
              <w14:schemeClr w14:val="tx1"/>
            </w14:solidFill>
          </w14:textFill>
        </w:rPr>
        <w:t>.2.5 允许供应商在谈判结束之前根据谈判小组提出的内容进行澄清、修改或完善，或对项目方案进行相应的调整。</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3</w:t>
      </w:r>
      <w:r>
        <w:rPr>
          <w:color w:val="000000" w:themeColor="text1"/>
          <w:szCs w:val="21"/>
          <w14:textFill>
            <w14:solidFill>
              <w14:schemeClr w14:val="tx1"/>
            </w14:solidFill>
          </w14:textFill>
        </w:rPr>
        <w:t>.2.6供应商对谈判应答文件进行修改，都应形成文字材料，并经供应商谈判授权人签字认可。</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3</w:t>
      </w:r>
      <w:r>
        <w:rPr>
          <w:color w:val="000000" w:themeColor="text1"/>
          <w:szCs w:val="21"/>
          <w14:textFill>
            <w14:solidFill>
              <w14:schemeClr w14:val="tx1"/>
            </w14:solidFill>
          </w14:textFill>
        </w:rPr>
        <w:t>.2.7谈判小组所有成员集中与单一供应商分别进行谈判。在谈判中，谈判的任何一方不得透露与谈判有关的其它供应商的技术资料、价格或者其他信息；参加谈判的供应商有三次更改机会；供应商应在规定的时间内提出最后更改及书面承诺。</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3</w:t>
      </w:r>
      <w:r>
        <w:rPr>
          <w:color w:val="000000" w:themeColor="text1"/>
          <w:szCs w:val="21"/>
          <w14:textFill>
            <w14:solidFill>
              <w14:schemeClr w14:val="tx1"/>
            </w14:solidFill>
          </w14:textFill>
        </w:rPr>
        <w:t>.2.8有下列情形之一的，该供应商的谈判结果作废标处理，</w:t>
      </w:r>
      <w:r>
        <w:rPr>
          <w:b/>
          <w:color w:val="000000" w:themeColor="text1"/>
          <w:szCs w:val="21"/>
          <w14:textFill>
            <w14:solidFill>
              <w14:schemeClr w14:val="tx1"/>
            </w14:solidFill>
          </w14:textFill>
        </w:rPr>
        <w:t>具体内容见原招标文件中投标文件初审表的《符合性检查表》部分以及谈判邀请中相应的变动部分。</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3</w:t>
      </w:r>
      <w:r>
        <w:rPr>
          <w:color w:val="000000" w:themeColor="text1"/>
          <w:szCs w:val="21"/>
          <w14:textFill>
            <w14:solidFill>
              <w14:schemeClr w14:val="tx1"/>
            </w14:solidFill>
          </w14:textFill>
        </w:rPr>
        <w:t>.2.9谈判结束后，谈判小组根据供应商提供的谈判应答文件、谈判过程中产生的相关资料，对供应商谈判应答文件进行评估与比较，提出书面评审意见。</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3</w:t>
      </w:r>
      <w:r>
        <w:rPr>
          <w:color w:val="000000" w:themeColor="text1"/>
          <w:szCs w:val="21"/>
          <w14:textFill>
            <w14:solidFill>
              <w14:schemeClr w14:val="tx1"/>
            </w14:solidFill>
          </w14:textFill>
        </w:rPr>
        <w:t>.2.10谈判小组将对谈判过程进行记录，以存档备查。</w:t>
      </w:r>
    </w:p>
    <w:p>
      <w:pPr>
        <w:ind w:firstLine="413" w:firstLineChars="196"/>
        <w:rPr>
          <w:b/>
          <w:color w:val="000000" w:themeColor="text1"/>
          <w:szCs w:val="21"/>
          <w14:textFill>
            <w14:solidFill>
              <w14:schemeClr w14:val="tx1"/>
            </w14:solidFill>
          </w14:textFill>
        </w:rPr>
      </w:pPr>
      <w:r>
        <w:rPr>
          <w:b/>
          <w:color w:val="000000" w:themeColor="text1"/>
          <w:szCs w:val="21"/>
          <w14:textFill>
            <w14:solidFill>
              <w14:schemeClr w14:val="tx1"/>
            </w14:solidFill>
          </w14:textFill>
        </w:rPr>
        <w:t>3</w:t>
      </w:r>
      <w:r>
        <w:rPr>
          <w:rFonts w:hint="eastAsia"/>
          <w:b/>
          <w:color w:val="000000" w:themeColor="text1"/>
          <w:szCs w:val="21"/>
          <w14:textFill>
            <w14:solidFill>
              <w14:schemeClr w14:val="tx1"/>
            </w14:solidFill>
          </w14:textFill>
        </w:rPr>
        <w:t>3</w:t>
      </w:r>
      <w:r>
        <w:rPr>
          <w:b/>
          <w:color w:val="000000" w:themeColor="text1"/>
          <w:szCs w:val="21"/>
          <w14:textFill>
            <w14:solidFill>
              <w14:schemeClr w14:val="tx1"/>
            </w14:solidFill>
          </w14:textFill>
        </w:rPr>
        <w:t>.3评标方法和定标原则</w:t>
      </w:r>
    </w:p>
    <w:p>
      <w:pPr>
        <w:tabs>
          <w:tab w:val="left" w:pos="-1080"/>
        </w:tabs>
        <w:ind w:firstLine="420" w:firstLineChars="200"/>
        <w:rPr>
          <w:color w:val="000000" w:themeColor="text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3</w:t>
      </w:r>
      <w:r>
        <w:rPr>
          <w:color w:val="000000" w:themeColor="text1"/>
          <w:szCs w:val="21"/>
          <w14:textFill>
            <w14:solidFill>
              <w14:schemeClr w14:val="tx1"/>
            </w14:solidFill>
          </w14:textFill>
        </w:rPr>
        <w:t>.3.1根据《深圳市政府采购评标委员会和评标方法暂行规定》（深财购[2005]5号），竞争性谈判采购项目的评标方法要比照</w:t>
      </w:r>
      <w:r>
        <w:rPr>
          <w:b/>
          <w:color w:val="000000" w:themeColor="text1"/>
          <w:szCs w:val="21"/>
          <w14:textFill>
            <w14:solidFill>
              <w14:schemeClr w14:val="tx1"/>
            </w14:solidFill>
          </w14:textFill>
        </w:rPr>
        <w:t>最低评标价法规定执行</w:t>
      </w:r>
      <w:r>
        <w:rPr>
          <w:color w:val="000000" w:themeColor="text1"/>
          <w:szCs w:val="21"/>
          <w14:textFill>
            <w14:solidFill>
              <w14:schemeClr w14:val="tx1"/>
            </w14:solidFill>
          </w14:textFill>
        </w:rPr>
        <w:t>。如确因实际情况需要采用其他评标方法的，应报经同级政府采购监督管理部门批准。</w:t>
      </w:r>
      <w:r>
        <w:rPr>
          <w:b/>
          <w:color w:val="000000" w:themeColor="text1"/>
          <w14:textFill>
            <w14:solidFill>
              <w14:schemeClr w14:val="tx1"/>
            </w14:solidFill>
          </w14:textFill>
        </w:rPr>
        <w:t>原招标文件若采用</w:t>
      </w:r>
      <w:r>
        <w:rPr>
          <w:b/>
          <w:bCs/>
          <w:color w:val="000000" w:themeColor="text1"/>
          <w14:textFill>
            <w14:solidFill>
              <w14:schemeClr w14:val="tx1"/>
            </w14:solidFill>
          </w14:textFill>
        </w:rPr>
        <w:t>最低评标价法以外的评标方法，转为竞争性谈判后，评标方法应采用</w:t>
      </w:r>
      <w:r>
        <w:rPr>
          <w:b/>
          <w:color w:val="000000" w:themeColor="text1"/>
          <w:szCs w:val="21"/>
          <w14:textFill>
            <w14:solidFill>
              <w14:schemeClr w14:val="tx1"/>
            </w14:solidFill>
          </w14:textFill>
        </w:rPr>
        <w:t>最低评标价法。</w:t>
      </w:r>
    </w:p>
    <w:p>
      <w:pPr>
        <w:tabs>
          <w:tab w:val="left" w:pos="-1080"/>
        </w:tabs>
        <w:ind w:firstLine="420" w:firstLineChars="200"/>
        <w:rPr>
          <w:color w:val="000000" w:themeColor="text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3</w:t>
      </w:r>
      <w:r>
        <w:rPr>
          <w:color w:val="000000" w:themeColor="text1"/>
          <w:szCs w:val="21"/>
          <w14:textFill>
            <w14:solidFill>
              <w14:schemeClr w14:val="tx1"/>
            </w14:solidFill>
          </w14:textFill>
        </w:rPr>
        <w:t>.3.2对公开招标失败转为竞争性谈判方式采购的项目，谈判小组</w:t>
      </w:r>
      <w:r>
        <w:rPr>
          <w:color w:val="000000" w:themeColor="text1"/>
          <w14:textFill>
            <w14:solidFill>
              <w14:schemeClr w14:val="tx1"/>
            </w14:solidFill>
          </w14:textFill>
        </w:rPr>
        <w:t>对谈判应答文件进行评审和比较，综合各家供应商最终的方案、服务和投资等谈判结果并按本须知第2</w:t>
      </w:r>
      <w:r>
        <w:rPr>
          <w:rFonts w:hint="eastAsia"/>
          <w:color w:val="000000" w:themeColor="text1"/>
          <w14:textFill>
            <w14:solidFill>
              <w14:schemeClr w14:val="tx1"/>
            </w14:solidFill>
          </w14:textFill>
        </w:rPr>
        <w:t>8</w:t>
      </w:r>
      <w:r>
        <w:rPr>
          <w:color w:val="000000" w:themeColor="text1"/>
          <w14:textFill>
            <w14:solidFill>
              <w14:schemeClr w14:val="tx1"/>
            </w14:solidFill>
          </w14:textFill>
        </w:rPr>
        <w:t>.1.1的</w:t>
      </w:r>
      <w:r>
        <w:rPr>
          <w:b/>
          <w:bCs/>
          <w:color w:val="000000" w:themeColor="text1"/>
          <w14:textFill>
            <w14:solidFill>
              <w14:schemeClr w14:val="tx1"/>
            </w14:solidFill>
          </w14:textFill>
        </w:rPr>
        <w:t>最低评标价法</w:t>
      </w:r>
      <w:r>
        <w:rPr>
          <w:color w:val="000000" w:themeColor="text1"/>
          <w14:textFill>
            <w14:solidFill>
              <w14:schemeClr w14:val="tx1"/>
            </w14:solidFill>
          </w14:textFill>
        </w:rPr>
        <w:t>进行评审。</w:t>
      </w:r>
    </w:p>
    <w:p>
      <w:pPr>
        <w:tabs>
          <w:tab w:val="left" w:pos="-1080"/>
        </w:tabs>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.3.3若要采用其他评标方法的，必须</w:t>
      </w:r>
      <w:r>
        <w:rPr>
          <w:color w:val="000000" w:themeColor="text1"/>
          <w:szCs w:val="21"/>
          <w14:textFill>
            <w14:solidFill>
              <w14:schemeClr w14:val="tx1"/>
            </w14:solidFill>
          </w14:textFill>
        </w:rPr>
        <w:t>报经政府采购监督管理部门批准，谈判小组按批准的评标方法进行评审。谈判邀请文件中应注明批准的评标方法。</w:t>
      </w:r>
    </w:p>
    <w:p>
      <w:pPr>
        <w:tabs>
          <w:tab w:val="left" w:pos="-1080"/>
        </w:tabs>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.3.4谈判小组向</w:t>
      </w:r>
      <w:r>
        <w:rPr>
          <w:rFonts w:hint="eastAsia"/>
          <w:color w:val="000000" w:themeColor="text1"/>
          <w14:textFill>
            <w14:solidFill>
              <w14:schemeClr w14:val="tx1"/>
            </w14:solidFill>
          </w14:textFill>
        </w:rPr>
        <w:t>招标方</w:t>
      </w:r>
      <w:r>
        <w:rPr>
          <w:color w:val="000000" w:themeColor="text1"/>
          <w14:textFill>
            <w14:solidFill>
              <w14:schemeClr w14:val="tx1"/>
            </w14:solidFill>
          </w14:textFill>
        </w:rPr>
        <w:t>提交书面评标报告，并受</w:t>
      </w:r>
      <w:r>
        <w:rPr>
          <w:rFonts w:hint="eastAsia"/>
          <w:color w:val="000000" w:themeColor="text1"/>
          <w14:textFill>
            <w14:solidFill>
              <w14:schemeClr w14:val="tx1"/>
            </w14:solidFill>
          </w14:textFill>
        </w:rPr>
        <w:t>招标方</w:t>
      </w:r>
      <w:r>
        <w:rPr>
          <w:color w:val="000000" w:themeColor="text1"/>
          <w14:textFill>
            <w14:solidFill>
              <w14:schemeClr w14:val="tx1"/>
            </w14:solidFill>
          </w14:textFill>
        </w:rPr>
        <w:t>委托直接确定中标供应商。</w:t>
      </w:r>
    </w:p>
    <w:p>
      <w:pPr>
        <w:spacing w:line="360" w:lineRule="auto"/>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3</w:t>
      </w:r>
      <w:r>
        <w:rPr>
          <w:rFonts w:hint="eastAsia" w:eastAsia="黑体"/>
          <w:color w:val="000000" w:themeColor="text1"/>
          <w:sz w:val="24"/>
          <w14:textFill>
            <w14:solidFill>
              <w14:schemeClr w14:val="tx1"/>
            </w14:solidFill>
          </w14:textFill>
        </w:rPr>
        <w:t>4</w:t>
      </w:r>
      <w:r>
        <w:rPr>
          <w:rFonts w:eastAsia="黑体"/>
          <w:color w:val="000000" w:themeColor="text1"/>
          <w:sz w:val="24"/>
          <w14:textFill>
            <w14:solidFill>
              <w14:schemeClr w14:val="tx1"/>
            </w14:solidFill>
          </w14:textFill>
        </w:rPr>
        <w:t>．公开招标失败项目转为单一来源谈判方式采购</w:t>
      </w:r>
    </w:p>
    <w:p>
      <w:pPr>
        <w:ind w:firstLine="413" w:firstLineChars="196"/>
        <w:rPr>
          <w:b/>
          <w:color w:val="000000" w:themeColor="text1"/>
          <w:szCs w:val="21"/>
          <w14:textFill>
            <w14:solidFill>
              <w14:schemeClr w14:val="tx1"/>
            </w14:solidFill>
          </w14:textFill>
        </w:rPr>
      </w:pPr>
      <w:r>
        <w:rPr>
          <w:b/>
          <w:color w:val="000000" w:themeColor="text1"/>
          <w:szCs w:val="21"/>
          <w14:textFill>
            <w14:solidFill>
              <w14:schemeClr w14:val="tx1"/>
            </w14:solidFill>
          </w14:textFill>
        </w:rPr>
        <w:t>3</w:t>
      </w:r>
      <w:r>
        <w:rPr>
          <w:rFonts w:hint="eastAsia"/>
          <w:b/>
          <w:color w:val="000000" w:themeColor="text1"/>
          <w:szCs w:val="21"/>
          <w14:textFill>
            <w14:solidFill>
              <w14:schemeClr w14:val="tx1"/>
            </w14:solidFill>
          </w14:textFill>
        </w:rPr>
        <w:t>4</w:t>
      </w:r>
      <w:r>
        <w:rPr>
          <w:b/>
          <w:color w:val="000000" w:themeColor="text1"/>
          <w:szCs w:val="21"/>
          <w14:textFill>
            <w14:solidFill>
              <w14:schemeClr w14:val="tx1"/>
            </w14:solidFill>
          </w14:textFill>
        </w:rPr>
        <w:t>.1谈判小组</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.1.1公开招标失败项目转为单一来源谈判方式采购后，评标委员会转为谈判小组，</w:t>
      </w:r>
      <w:r>
        <w:rPr>
          <w:color w:val="000000" w:themeColor="text1"/>
          <w14:textFill>
            <w14:solidFill>
              <w14:schemeClr w14:val="tx1"/>
            </w14:solidFill>
          </w14:textFill>
        </w:rPr>
        <w:t>谈判小组成员由</w:t>
      </w:r>
      <w:r>
        <w:rPr>
          <w:rFonts w:hint="eastAsia"/>
          <w:color w:val="000000" w:themeColor="text1"/>
          <w14:textFill>
            <w14:solidFill>
              <w14:schemeClr w14:val="tx1"/>
            </w14:solidFill>
          </w14:textFill>
        </w:rPr>
        <w:t>招标方</w:t>
      </w:r>
      <w:r>
        <w:rPr>
          <w:color w:val="000000" w:themeColor="text1"/>
          <w14:textFill>
            <w14:solidFill>
              <w14:schemeClr w14:val="tx1"/>
            </w14:solidFill>
          </w14:textFill>
        </w:rPr>
        <w:t>代表和有关专家共3人以上（含3人）的单数组成；其中专家的人数不得少于成员总数的三分之二；专家可重新抽取也可继续采用评标委员会内专家。</w:t>
      </w:r>
    </w:p>
    <w:p>
      <w:pPr>
        <w:tabs>
          <w:tab w:val="left" w:pos="-1080"/>
        </w:tabs>
        <w:ind w:firstLine="420" w:firstLineChars="200"/>
        <w:rPr>
          <w:color w:val="000000" w:themeColor="text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.1.2</w:t>
      </w:r>
      <w:r>
        <w:rPr>
          <w:color w:val="000000" w:themeColor="text1"/>
          <w14:textFill>
            <w14:solidFill>
              <w14:schemeClr w14:val="tx1"/>
            </w14:solidFill>
          </w14:textFill>
        </w:rPr>
        <w:t>谈判前，谈判小组将对单一来源供应商的谈判应答文件进行审查，</w:t>
      </w:r>
      <w:r>
        <w:rPr>
          <w:bCs/>
          <w:color w:val="000000" w:themeColor="text1"/>
          <w14:textFill>
            <w14:solidFill>
              <w14:schemeClr w14:val="tx1"/>
            </w14:solidFill>
          </w14:textFill>
        </w:rPr>
        <w:t>当谈判应答文件出现下列情况之一的将视为无效，按废标处理，不得进入谈判，</w:t>
      </w:r>
      <w:r>
        <w:rPr>
          <w:b/>
          <w:color w:val="000000" w:themeColor="text1"/>
          <w14:textFill>
            <w14:solidFill>
              <w14:schemeClr w14:val="tx1"/>
            </w14:solidFill>
          </w14:textFill>
        </w:rPr>
        <w:t>具体内容见原招标文件中投标文件初审表的《资格性检查表》部分以及谈判邀请中相应的变动部分。</w:t>
      </w:r>
    </w:p>
    <w:p>
      <w:pPr>
        <w:ind w:firstLine="413" w:firstLineChars="196"/>
        <w:rPr>
          <w:b/>
          <w:color w:val="000000" w:themeColor="text1"/>
          <w:szCs w:val="21"/>
          <w14:textFill>
            <w14:solidFill>
              <w14:schemeClr w14:val="tx1"/>
            </w14:solidFill>
          </w14:textFill>
        </w:rPr>
      </w:pPr>
      <w:r>
        <w:rPr>
          <w:b/>
          <w:color w:val="000000" w:themeColor="text1"/>
          <w:szCs w:val="21"/>
          <w14:textFill>
            <w14:solidFill>
              <w14:schemeClr w14:val="tx1"/>
            </w14:solidFill>
          </w14:textFill>
        </w:rPr>
        <w:t>3</w:t>
      </w:r>
      <w:r>
        <w:rPr>
          <w:rFonts w:hint="eastAsia"/>
          <w:b/>
          <w:color w:val="000000" w:themeColor="text1"/>
          <w:szCs w:val="21"/>
          <w14:textFill>
            <w14:solidFill>
              <w14:schemeClr w14:val="tx1"/>
            </w14:solidFill>
          </w14:textFill>
        </w:rPr>
        <w:t>4</w:t>
      </w:r>
      <w:r>
        <w:rPr>
          <w:b/>
          <w:color w:val="000000" w:themeColor="text1"/>
          <w:szCs w:val="21"/>
          <w14:textFill>
            <w14:solidFill>
              <w14:schemeClr w14:val="tx1"/>
            </w14:solidFill>
          </w14:textFill>
        </w:rPr>
        <w:t>.2谈判程序</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.2.1参加谈判的供应商和谈判小组成员填写谈判登记表，并交验证明文件（法定代表人证明书、法人授权委托书、被授权的谈判代表身份证原件）。</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.2.2谈判小组主持人宣布谈判规则和谈判纪律。</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.2.3在谈判中，谈判小组将就以下谈判内容跟供应商进行谈判：</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（1）项目方案；</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（2）报价；</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（3）其它相关事项。</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原招标文件或谈判邀请文件有实质性变动的，谈判小组应当通过</w:t>
      </w:r>
      <w:r>
        <w:rPr>
          <w:rFonts w:hint="eastAsia"/>
          <w:color w:val="000000" w:themeColor="text1"/>
          <w:szCs w:val="21"/>
          <w14:textFill>
            <w14:solidFill>
              <w14:schemeClr w14:val="tx1"/>
            </w14:solidFill>
          </w14:textFill>
        </w:rPr>
        <w:t>招标方</w:t>
      </w:r>
      <w:r>
        <w:rPr>
          <w:color w:val="000000" w:themeColor="text1"/>
          <w:szCs w:val="21"/>
          <w14:textFill>
            <w14:solidFill>
              <w14:schemeClr w14:val="tx1"/>
            </w14:solidFill>
          </w14:textFill>
        </w:rPr>
        <w:t>通知供应商。</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.2.4谈判小组可以用书面形式要求供应商对其谈判应答文件含义不明确的内容作必要的澄清或者说明，重要问题供应商应以书面形式进行澄清、说明。</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.2.5 允许供应商在谈判结束之前根据谈判小组提出的内容进行澄清、修改或完善，或对项目方案进行相应的调整。</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.2.6供应商对谈判应答文件进行修改，都应形成文字材料，并经供应商谈判授权人签字认可。</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.2.7谈判小组与单一来源供应商进行谈判。供应商有三次更改机会；供应商应在规定的时间内提出最后更改及书面承诺。</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.2.8有下列情形之一的，供应商的谈判结果作废标处理，</w:t>
      </w:r>
      <w:r>
        <w:rPr>
          <w:b/>
          <w:color w:val="000000" w:themeColor="text1"/>
          <w:szCs w:val="21"/>
          <w14:textFill>
            <w14:solidFill>
              <w14:schemeClr w14:val="tx1"/>
            </w14:solidFill>
          </w14:textFill>
        </w:rPr>
        <w:t>具体内容见原招标文件中投标文件初审表的《符合性检查表》部分以及谈判邀请中相应的变动部分。</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.2.9谈判结束后，谈判小组根据供应商提供的谈判应答文件、谈判过程中产生的相关资料，对供应商谈判应答文件进行评估与比较，提出书面评审意见。</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.2.10谈判小组将对谈判过程进行记录，以存档备查。</w:t>
      </w:r>
    </w:p>
    <w:p>
      <w:pPr>
        <w:ind w:firstLine="413" w:firstLineChars="196"/>
        <w:rPr>
          <w:b/>
          <w:color w:val="000000" w:themeColor="text1"/>
          <w:szCs w:val="21"/>
          <w14:textFill>
            <w14:solidFill>
              <w14:schemeClr w14:val="tx1"/>
            </w14:solidFill>
          </w14:textFill>
        </w:rPr>
      </w:pPr>
      <w:r>
        <w:rPr>
          <w:b/>
          <w:color w:val="000000" w:themeColor="text1"/>
          <w:szCs w:val="21"/>
          <w14:textFill>
            <w14:solidFill>
              <w14:schemeClr w14:val="tx1"/>
            </w14:solidFill>
          </w14:textFill>
        </w:rPr>
        <w:t>3</w:t>
      </w:r>
      <w:r>
        <w:rPr>
          <w:rFonts w:hint="eastAsia"/>
          <w:b/>
          <w:color w:val="000000" w:themeColor="text1"/>
          <w:szCs w:val="21"/>
          <w14:textFill>
            <w14:solidFill>
              <w14:schemeClr w14:val="tx1"/>
            </w14:solidFill>
          </w14:textFill>
        </w:rPr>
        <w:t>4</w:t>
      </w:r>
      <w:r>
        <w:rPr>
          <w:b/>
          <w:color w:val="000000" w:themeColor="text1"/>
          <w:szCs w:val="21"/>
          <w14:textFill>
            <w14:solidFill>
              <w14:schemeClr w14:val="tx1"/>
            </w14:solidFill>
          </w14:textFill>
        </w:rPr>
        <w:t>.3评标方法和定标原则</w:t>
      </w:r>
    </w:p>
    <w:p>
      <w:pPr>
        <w:tabs>
          <w:tab w:val="left" w:pos="-1080"/>
        </w:tabs>
        <w:ind w:firstLine="420" w:firstLineChars="200"/>
        <w:rPr>
          <w:color w:val="000000" w:themeColor="text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.3.1</w:t>
      </w:r>
      <w:r>
        <w:rPr>
          <w:b/>
          <w:color w:val="000000" w:themeColor="text1"/>
          <w:szCs w:val="21"/>
          <w14:textFill>
            <w14:solidFill>
              <w14:schemeClr w14:val="tx1"/>
            </w14:solidFill>
          </w14:textFill>
        </w:rPr>
        <w:t>单一来源谈判采用最低评标价法。</w:t>
      </w:r>
      <w:r>
        <w:rPr>
          <w:color w:val="000000" w:themeColor="text1"/>
          <w14:textFill>
            <w14:solidFill>
              <w14:schemeClr w14:val="tx1"/>
            </w14:solidFill>
          </w14:textFill>
        </w:rPr>
        <w:t>原招标文件若采用</w:t>
      </w:r>
      <w:r>
        <w:rPr>
          <w:bCs/>
          <w:color w:val="000000" w:themeColor="text1"/>
          <w14:textFill>
            <w14:solidFill>
              <w14:schemeClr w14:val="tx1"/>
            </w14:solidFill>
          </w14:textFill>
        </w:rPr>
        <w:t>最低评标价法以外的评标方法，转为竞争性谈判后，评标方法改为</w:t>
      </w:r>
      <w:r>
        <w:rPr>
          <w:color w:val="000000" w:themeColor="text1"/>
          <w:szCs w:val="21"/>
          <w14:textFill>
            <w14:solidFill>
              <w14:schemeClr w14:val="tx1"/>
            </w14:solidFill>
          </w14:textFill>
        </w:rPr>
        <w:t>最低评标价法。谈判小组</w:t>
      </w:r>
      <w:r>
        <w:rPr>
          <w:color w:val="000000" w:themeColor="text1"/>
          <w14:textFill>
            <w14:solidFill>
              <w14:schemeClr w14:val="tx1"/>
            </w14:solidFill>
          </w14:textFill>
        </w:rPr>
        <w:t>对谈判应答文件进行评审和比较，对供应商最终的方案、服务和投资等谈判结果按本须知第2</w:t>
      </w:r>
      <w:r>
        <w:rPr>
          <w:rFonts w:hint="eastAsia"/>
          <w:color w:val="000000" w:themeColor="text1"/>
          <w14:textFill>
            <w14:solidFill>
              <w14:schemeClr w14:val="tx1"/>
            </w14:solidFill>
          </w14:textFill>
        </w:rPr>
        <w:t>8</w:t>
      </w:r>
      <w:r>
        <w:rPr>
          <w:color w:val="000000" w:themeColor="text1"/>
          <w14:textFill>
            <w14:solidFill>
              <w14:schemeClr w14:val="tx1"/>
            </w14:solidFill>
          </w14:textFill>
        </w:rPr>
        <w:t>.1.1的</w:t>
      </w:r>
      <w:r>
        <w:rPr>
          <w:b/>
          <w:bCs/>
          <w:color w:val="000000" w:themeColor="text1"/>
          <w14:textFill>
            <w14:solidFill>
              <w14:schemeClr w14:val="tx1"/>
            </w14:solidFill>
          </w14:textFill>
        </w:rPr>
        <w:t>最低评标价法</w:t>
      </w:r>
      <w:r>
        <w:rPr>
          <w:color w:val="000000" w:themeColor="text1"/>
          <w14:textFill>
            <w14:solidFill>
              <w14:schemeClr w14:val="tx1"/>
            </w14:solidFill>
          </w14:textFill>
        </w:rPr>
        <w:t>进行评审。</w:t>
      </w:r>
    </w:p>
    <w:p>
      <w:pPr>
        <w:tabs>
          <w:tab w:val="left" w:pos="-1080"/>
        </w:tabs>
        <w:ind w:firstLine="420" w:firstLineChars="200"/>
        <w:rPr>
          <w:color w:val="000000" w:themeColor="text1"/>
          <w:szCs w:val="2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4</w:t>
      </w:r>
      <w:r>
        <w:rPr>
          <w:color w:val="000000" w:themeColor="text1"/>
          <w14:textFill>
            <w14:solidFill>
              <w14:schemeClr w14:val="tx1"/>
            </w14:solidFill>
          </w14:textFill>
        </w:rPr>
        <w:t>.3.2谈判小组向</w:t>
      </w:r>
      <w:r>
        <w:rPr>
          <w:rFonts w:hint="eastAsia"/>
          <w:color w:val="000000" w:themeColor="text1"/>
          <w14:textFill>
            <w14:solidFill>
              <w14:schemeClr w14:val="tx1"/>
            </w14:solidFill>
          </w14:textFill>
        </w:rPr>
        <w:t>招标方</w:t>
      </w:r>
      <w:r>
        <w:rPr>
          <w:color w:val="000000" w:themeColor="text1"/>
          <w14:textFill>
            <w14:solidFill>
              <w14:schemeClr w14:val="tx1"/>
            </w14:solidFill>
          </w14:textFill>
        </w:rPr>
        <w:t>提交书面评标报告，并受</w:t>
      </w:r>
      <w:r>
        <w:rPr>
          <w:rFonts w:hint="eastAsia"/>
          <w:color w:val="000000" w:themeColor="text1"/>
          <w14:textFill>
            <w14:solidFill>
              <w14:schemeClr w14:val="tx1"/>
            </w14:solidFill>
          </w14:textFill>
        </w:rPr>
        <w:t>招标方</w:t>
      </w:r>
      <w:r>
        <w:rPr>
          <w:color w:val="000000" w:themeColor="text1"/>
          <w14:textFill>
            <w14:solidFill>
              <w14:schemeClr w14:val="tx1"/>
            </w14:solidFill>
          </w14:textFill>
        </w:rPr>
        <w:t>委托直接确定中标供应商。</w:t>
      </w:r>
    </w:p>
    <w:p>
      <w:pPr>
        <w:pStyle w:val="4"/>
        <w:numPr>
          <w:ilvl w:val="0"/>
          <w:numId w:val="1"/>
        </w:numPr>
        <w:adjustRightInd w:val="0"/>
        <w:spacing w:before="156" w:beforeLines="50" w:after="156" w:afterLines="50" w:line="240" w:lineRule="auto"/>
        <w:jc w:val="center"/>
        <w:textAlignment w:val="baseline"/>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合同的授予</w:t>
      </w:r>
    </w:p>
    <w:p>
      <w:pPr>
        <w:spacing w:line="360" w:lineRule="auto"/>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3</w:t>
      </w:r>
      <w:r>
        <w:rPr>
          <w:rFonts w:hint="eastAsia" w:eastAsia="黑体"/>
          <w:color w:val="000000" w:themeColor="text1"/>
          <w:sz w:val="24"/>
          <w14:textFill>
            <w14:solidFill>
              <w14:schemeClr w14:val="tx1"/>
            </w14:solidFill>
          </w14:textFill>
        </w:rPr>
        <w:t>5</w:t>
      </w:r>
      <w:r>
        <w:rPr>
          <w:rFonts w:eastAsia="黑体"/>
          <w:color w:val="000000" w:themeColor="text1"/>
          <w:sz w:val="24"/>
          <w14:textFill>
            <w14:solidFill>
              <w14:schemeClr w14:val="tx1"/>
            </w14:solidFill>
          </w14:textFill>
        </w:rPr>
        <w:t>．合同授予标准</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5</w:t>
      </w:r>
      <w:r>
        <w:rPr>
          <w:color w:val="000000" w:themeColor="text1"/>
          <w:szCs w:val="21"/>
          <w14:textFill>
            <w14:solidFill>
              <w14:schemeClr w14:val="tx1"/>
            </w14:solidFill>
          </w14:textFill>
        </w:rPr>
        <w:t>.1本项目的合同将授予按本招标文件规定评审确定的中标人。</w:t>
      </w:r>
    </w:p>
    <w:p>
      <w:pPr>
        <w:spacing w:line="360" w:lineRule="auto"/>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3</w:t>
      </w:r>
      <w:r>
        <w:rPr>
          <w:rFonts w:hint="eastAsia" w:eastAsia="黑体"/>
          <w:color w:val="000000" w:themeColor="text1"/>
          <w:sz w:val="24"/>
          <w14:textFill>
            <w14:solidFill>
              <w14:schemeClr w14:val="tx1"/>
            </w14:solidFill>
          </w14:textFill>
        </w:rPr>
        <w:t>6</w:t>
      </w:r>
      <w:r>
        <w:rPr>
          <w:rFonts w:eastAsia="黑体"/>
          <w:color w:val="000000" w:themeColor="text1"/>
          <w:sz w:val="24"/>
          <w14:textFill>
            <w14:solidFill>
              <w14:schemeClr w14:val="tx1"/>
            </w14:solidFill>
          </w14:textFill>
        </w:rPr>
        <w:t>．接受和拒绝任何或所有投标的权力</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6</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招标方</w:t>
      </w:r>
      <w:r>
        <w:rPr>
          <w:color w:val="000000" w:themeColor="text1"/>
          <w:szCs w:val="21"/>
          <w14:textFill>
            <w14:solidFill>
              <w14:schemeClr w14:val="tx1"/>
            </w14:solidFill>
          </w14:textFill>
        </w:rPr>
        <w:t>保留在投标之前任何时候接受或拒绝任何投标或所有投标，以及宣布招标无效的权力，对受影响的投标人不承担任何责任，也无义务向受影响的投标人解释采取这一行动的理由。</w:t>
      </w:r>
    </w:p>
    <w:p>
      <w:pPr>
        <w:spacing w:line="360" w:lineRule="auto"/>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3</w:t>
      </w:r>
      <w:r>
        <w:rPr>
          <w:rFonts w:hint="eastAsia" w:eastAsia="黑体"/>
          <w:color w:val="000000" w:themeColor="text1"/>
          <w:sz w:val="24"/>
          <w14:textFill>
            <w14:solidFill>
              <w14:schemeClr w14:val="tx1"/>
            </w14:solidFill>
          </w14:textFill>
        </w:rPr>
        <w:t>7</w:t>
      </w:r>
      <w:r>
        <w:rPr>
          <w:rFonts w:eastAsia="黑体"/>
          <w:color w:val="000000" w:themeColor="text1"/>
          <w:sz w:val="24"/>
          <w14:textFill>
            <w14:solidFill>
              <w14:schemeClr w14:val="tx1"/>
            </w14:solidFill>
          </w14:textFill>
        </w:rPr>
        <w:t>．合同协议书的签订</w:t>
      </w:r>
    </w:p>
    <w:p>
      <w:pPr>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7</w:t>
      </w:r>
      <w:r>
        <w:rPr>
          <w:color w:val="000000" w:themeColor="text1"/>
          <w:szCs w:val="21"/>
          <w14:textFill>
            <w14:solidFill>
              <w14:schemeClr w14:val="tx1"/>
            </w14:solidFill>
          </w14:textFill>
        </w:rPr>
        <w:t>.1中标人将于中标通知书发出之日起</w:t>
      </w: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0日内，按照招标文件和投标文件内容与</w:t>
      </w:r>
      <w:r>
        <w:rPr>
          <w:rFonts w:hint="eastAsia"/>
          <w:color w:val="000000" w:themeColor="text1"/>
          <w:szCs w:val="21"/>
          <w14:textFill>
            <w14:solidFill>
              <w14:schemeClr w14:val="tx1"/>
            </w14:solidFill>
          </w14:textFill>
        </w:rPr>
        <w:t>招标方</w:t>
      </w:r>
      <w:r>
        <w:rPr>
          <w:color w:val="000000" w:themeColor="text1"/>
          <w:szCs w:val="21"/>
          <w14:textFill>
            <w14:solidFill>
              <w14:schemeClr w14:val="tx1"/>
            </w14:solidFill>
          </w14:textFill>
        </w:rPr>
        <w:t>签订书面合同，合同书应采用本招标文件第</w:t>
      </w:r>
      <w:r>
        <w:rPr>
          <w:rFonts w:hint="eastAsia"/>
          <w:color w:val="000000" w:themeColor="text1"/>
          <w:szCs w:val="21"/>
          <w14:textFill>
            <w14:solidFill>
              <w14:schemeClr w14:val="tx1"/>
            </w14:solidFill>
          </w14:textFill>
        </w:rPr>
        <w:t>三</w:t>
      </w:r>
      <w:r>
        <w:rPr>
          <w:color w:val="000000" w:themeColor="text1"/>
          <w:szCs w:val="21"/>
          <w14:textFill>
            <w14:solidFill>
              <w14:schemeClr w14:val="tx1"/>
            </w14:solidFill>
          </w14:textFill>
        </w:rPr>
        <w:t>部分规定的合同样本；</w:t>
      </w:r>
    </w:p>
    <w:p>
      <w:pPr>
        <w:spacing w:line="0" w:lineRule="atLeast"/>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7</w:t>
      </w:r>
      <w:r>
        <w:rPr>
          <w:color w:val="000000" w:themeColor="text1"/>
          <w:szCs w:val="21"/>
          <w14:textFill>
            <w14:solidFill>
              <w14:schemeClr w14:val="tx1"/>
            </w14:solidFill>
          </w14:textFill>
        </w:rPr>
        <w:t>.2中标人如不按规定与</w:t>
      </w:r>
      <w:r>
        <w:rPr>
          <w:rFonts w:hint="eastAsia"/>
          <w:color w:val="000000" w:themeColor="text1"/>
          <w:szCs w:val="21"/>
          <w14:textFill>
            <w14:solidFill>
              <w14:schemeClr w14:val="tx1"/>
            </w14:solidFill>
          </w14:textFill>
        </w:rPr>
        <w:t>招标方</w:t>
      </w:r>
      <w:r>
        <w:rPr>
          <w:color w:val="000000" w:themeColor="text1"/>
          <w:szCs w:val="21"/>
          <w14:textFill>
            <w14:solidFill>
              <w14:schemeClr w14:val="tx1"/>
            </w14:solidFill>
          </w14:textFill>
        </w:rPr>
        <w:t>签订合同，则</w:t>
      </w:r>
      <w:r>
        <w:rPr>
          <w:rFonts w:hint="eastAsia"/>
          <w:color w:val="000000" w:themeColor="text1"/>
          <w:szCs w:val="21"/>
          <w14:textFill>
            <w14:solidFill>
              <w14:schemeClr w14:val="tx1"/>
            </w14:solidFill>
          </w14:textFill>
        </w:rPr>
        <w:t>招标方</w:t>
      </w:r>
      <w:r>
        <w:rPr>
          <w:color w:val="000000" w:themeColor="text1"/>
          <w:szCs w:val="21"/>
          <w14:textFill>
            <w14:solidFill>
              <w14:schemeClr w14:val="tx1"/>
            </w14:solidFill>
          </w14:textFill>
        </w:rPr>
        <w:t>将有充分的理由废除中标</w:t>
      </w:r>
      <w:r>
        <w:rPr>
          <w:rFonts w:hint="eastAsia"/>
          <w:color w:val="000000" w:themeColor="text1"/>
          <w:szCs w:val="21"/>
          <w14:textFill>
            <w14:solidFill>
              <w14:schemeClr w14:val="tx1"/>
            </w14:solidFill>
          </w14:textFill>
        </w:rPr>
        <w:t>；</w:t>
      </w:r>
    </w:p>
    <w:p>
      <w:pPr>
        <w:spacing w:line="0" w:lineRule="atLeast"/>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7</w:t>
      </w:r>
      <w:r>
        <w:rPr>
          <w:color w:val="000000" w:themeColor="text1"/>
          <w:szCs w:val="21"/>
          <w14:textFill>
            <w14:solidFill>
              <w14:schemeClr w14:val="tx1"/>
            </w14:solidFill>
          </w14:textFill>
        </w:rPr>
        <w:t>.3中标人应当按照合同约定履行义务，完成中标项目，未</w:t>
      </w:r>
      <w:r>
        <w:rPr>
          <w:rFonts w:hint="eastAsia"/>
          <w:color w:val="000000" w:themeColor="text1"/>
          <w:szCs w:val="21"/>
          <w14:textFill>
            <w14:solidFill>
              <w14:schemeClr w14:val="tx1"/>
            </w14:solidFill>
          </w14:textFill>
        </w:rPr>
        <w:t>经</w:t>
      </w:r>
      <w:r>
        <w:rPr>
          <w:color w:val="000000" w:themeColor="text1"/>
          <w:szCs w:val="21"/>
          <w14:textFill>
            <w14:solidFill>
              <w14:schemeClr w14:val="tx1"/>
            </w14:solidFill>
          </w14:textFill>
        </w:rPr>
        <w:t>招标人及监管部门许可不得将中标项目转让（转包）给他人；</w:t>
      </w:r>
    </w:p>
    <w:p>
      <w:pPr>
        <w:spacing w:line="0" w:lineRule="atLeast"/>
        <w:ind w:firstLine="411" w:firstLineChars="196"/>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7</w:t>
      </w:r>
      <w:r>
        <w:rPr>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招标方</w:t>
      </w:r>
      <w:r>
        <w:rPr>
          <w:color w:val="000000" w:themeColor="text1"/>
          <w:szCs w:val="21"/>
          <w14:textFill>
            <w14:solidFill>
              <w14:schemeClr w14:val="tx1"/>
            </w14:solidFill>
          </w14:textFill>
        </w:rPr>
        <w:t>与中标人签订的服务合同必须遵守本招标文件的合同条件，并且不得更改合同条件。</w:t>
      </w:r>
    </w:p>
    <w:bookmarkEnd w:id="201"/>
    <w:bookmarkEnd w:id="202"/>
    <w:bookmarkEnd w:id="203"/>
    <w:bookmarkEnd w:id="204"/>
    <w:p>
      <w:pPr>
        <w:spacing w:line="0" w:lineRule="atLeast"/>
        <w:ind w:firstLine="411" w:firstLineChars="196"/>
        <w:jc w:val="center"/>
        <w:rPr>
          <w:color w:val="000000" w:themeColor="text1"/>
          <w:szCs w:val="21"/>
          <w14:textFill>
            <w14:solidFill>
              <w14:schemeClr w14:val="tx1"/>
            </w14:solidFill>
          </w14:textFill>
        </w:rPr>
      </w:pPr>
      <w:bookmarkStart w:id="205" w:name="bt其他资料由投标人自定"/>
      <w:bookmarkEnd w:id="205"/>
      <w:bookmarkStart w:id="206" w:name="bt开标一览表"/>
      <w:bookmarkEnd w:id="206"/>
      <w:bookmarkStart w:id="207" w:name="bt项目管理班子配备情况"/>
      <w:bookmarkEnd w:id="207"/>
      <w:bookmarkStart w:id="208" w:name="合同格式"/>
      <w:bookmarkEnd w:id="208"/>
      <w:bookmarkStart w:id="209" w:name="bt投标函"/>
      <w:bookmarkEnd w:id="209"/>
      <w:bookmarkStart w:id="210" w:name="bt技术标投标文件格式"/>
      <w:bookmarkEnd w:id="210"/>
      <w:bookmarkStart w:id="211" w:name="bt合同格式"/>
      <w:bookmarkEnd w:id="211"/>
      <w:bookmarkStart w:id="212" w:name="bt合同条款及格式"/>
      <w:bookmarkEnd w:id="212"/>
      <w:bookmarkStart w:id="213" w:name="bt合同条款"/>
      <w:bookmarkEnd w:id="213"/>
      <w:bookmarkStart w:id="214" w:name="bt其他资料2"/>
      <w:bookmarkEnd w:id="214"/>
      <w:bookmarkStart w:id="215" w:name="bt投标人情况介绍"/>
      <w:bookmarkEnd w:id="215"/>
      <w:bookmarkStart w:id="216" w:name="_33._合同授予标准"/>
      <w:bookmarkEnd w:id="216"/>
      <w:bookmarkStart w:id="217" w:name="bt投标报价汇总表"/>
      <w:bookmarkEnd w:id="217"/>
      <w:bookmarkStart w:id="218" w:name="bt投标文件签署授权委托书"/>
      <w:bookmarkEnd w:id="218"/>
      <w:bookmarkStart w:id="219" w:name="bt本工程承诺书"/>
      <w:bookmarkEnd w:id="219"/>
      <w:bookmarkStart w:id="220" w:name="bt商务标投标文件格式"/>
      <w:bookmarkEnd w:id="220"/>
      <w:r>
        <w:rPr>
          <w:color w:val="000000" w:themeColor="text1"/>
          <w14:textFill>
            <w14:solidFill>
              <w14:schemeClr w14:val="tx1"/>
            </w14:solidFill>
          </w14:textFill>
        </w:rPr>
        <w:t>---- END ----</w:t>
      </w:r>
    </w:p>
    <w:p>
      <w:pPr>
        <w:pStyle w:val="21"/>
        <w:spacing w:before="120" w:after="120"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br w:type="page"/>
      </w:r>
    </w:p>
    <w:p>
      <w:pPr>
        <w:pStyle w:val="21"/>
        <w:spacing w:before="120" w:after="120" w:line="360" w:lineRule="auto"/>
        <w:rPr>
          <w:rFonts w:ascii="Times New Roman" w:hAnsi="Times New Roman" w:eastAsia="黑体"/>
          <w:b w:val="0"/>
          <w:color w:val="000000" w:themeColor="text1"/>
          <w:sz w:val="44"/>
          <w14:textFill>
            <w14:solidFill>
              <w14:schemeClr w14:val="tx1"/>
            </w14:solidFill>
          </w14:textFill>
        </w:rPr>
      </w:pPr>
      <w:r>
        <w:rPr>
          <w:rFonts w:ascii="Times New Roman" w:hAnsi="Times New Roman" w:eastAsia="黑体"/>
          <w:b w:val="0"/>
          <w:color w:val="000000" w:themeColor="text1"/>
          <w:sz w:val="44"/>
          <w14:textFill>
            <w14:solidFill>
              <w14:schemeClr w14:val="tx1"/>
            </w14:solidFill>
          </w14:textFill>
        </w:rPr>
        <w:t>第二部分</w:t>
      </w:r>
      <w:r>
        <w:rPr>
          <w:rFonts w:hint="eastAsia" w:ascii="Times New Roman" w:hAnsi="Times New Roman" w:eastAsia="黑体"/>
          <w:b w:val="0"/>
          <w:color w:val="000000" w:themeColor="text1"/>
          <w:sz w:val="44"/>
          <w14:textFill>
            <w14:solidFill>
              <w14:schemeClr w14:val="tx1"/>
            </w14:solidFill>
          </w14:textFill>
        </w:rPr>
        <w:t xml:space="preserve"> </w:t>
      </w:r>
      <w:r>
        <w:rPr>
          <w:rFonts w:ascii="Times New Roman" w:hAnsi="Times New Roman" w:eastAsia="黑体"/>
          <w:b w:val="0"/>
          <w:color w:val="000000" w:themeColor="text1"/>
          <w:sz w:val="44"/>
          <w14:textFill>
            <w14:solidFill>
              <w14:schemeClr w14:val="tx1"/>
            </w14:solidFill>
          </w14:textFill>
        </w:rPr>
        <w:t>招标项目要求</w:t>
      </w:r>
    </w:p>
    <w:p>
      <w:pPr>
        <w:pStyle w:val="21"/>
        <w:spacing w:before="0" w:after="0" w:line="360" w:lineRule="auto"/>
        <w:ind w:left="1095"/>
        <w:outlineLvl w:val="1"/>
        <w:rPr>
          <w:rFonts w:ascii="Times New Roman" w:hAnsi="Times New Roman" w:eastAsia="黑体"/>
          <w:b w:val="0"/>
          <w:color w:val="000000" w:themeColor="text1"/>
          <w:sz w:val="30"/>
          <w:szCs w:val="30"/>
          <w14:textFill>
            <w14:solidFill>
              <w14:schemeClr w14:val="tx1"/>
            </w14:solidFill>
          </w14:textFill>
        </w:rPr>
      </w:pPr>
      <w:r>
        <w:rPr>
          <w:rFonts w:ascii="Times New Roman" w:hAnsi="Times New Roman" w:eastAsia="黑体"/>
          <w:b w:val="0"/>
          <w:color w:val="000000" w:themeColor="text1"/>
          <w:sz w:val="30"/>
          <w:szCs w:val="30"/>
          <w14:textFill>
            <w14:solidFill>
              <w14:schemeClr w14:val="tx1"/>
            </w14:solidFill>
          </w14:textFill>
        </w:rPr>
        <w:t>第一章</w:t>
      </w:r>
      <w:r>
        <w:rPr>
          <w:rFonts w:hint="eastAsia" w:ascii="Times New Roman" w:hAnsi="Times New Roman" w:eastAsia="黑体"/>
          <w:b w:val="0"/>
          <w:color w:val="000000" w:themeColor="text1"/>
          <w:sz w:val="30"/>
          <w:szCs w:val="30"/>
          <w14:textFill>
            <w14:solidFill>
              <w14:schemeClr w14:val="tx1"/>
            </w14:solidFill>
          </w14:textFill>
        </w:rPr>
        <w:t xml:space="preserve"> </w:t>
      </w:r>
      <w:r>
        <w:rPr>
          <w:rFonts w:ascii="Times New Roman" w:hAnsi="Times New Roman" w:eastAsia="黑体"/>
          <w:b w:val="0"/>
          <w:color w:val="000000" w:themeColor="text1"/>
          <w:sz w:val="30"/>
          <w:szCs w:val="30"/>
          <w14:textFill>
            <w14:solidFill>
              <w14:schemeClr w14:val="tx1"/>
            </w14:solidFill>
          </w14:textFill>
        </w:rPr>
        <w:t>招标公告</w:t>
      </w:r>
    </w:p>
    <w:p>
      <w:pPr>
        <w:ind w:firstLine="424" w:firstLineChars="202"/>
        <w:rPr>
          <w:kern w:val="0"/>
          <w:szCs w:val="21"/>
        </w:rPr>
      </w:pPr>
      <w:r>
        <w:rPr>
          <w:rFonts w:hint="eastAsia"/>
          <w:color w:val="000000" w:themeColor="text1"/>
          <w:kern w:val="0"/>
          <w:szCs w:val="21"/>
          <w14:textFill>
            <w14:solidFill>
              <w14:schemeClr w14:val="tx1"/>
            </w14:solidFill>
          </w14:textFill>
        </w:rPr>
        <w:t>哈尔滨工业大学现公开对哈尔滨工业大学（深圳）</w:t>
      </w:r>
      <w:r>
        <w:rPr>
          <w:rFonts w:hint="eastAsia"/>
          <w:color w:val="000000" w:themeColor="text1"/>
          <w:szCs w:val="21"/>
          <w14:textFill>
            <w14:solidFill>
              <w14:schemeClr w14:val="tx1"/>
            </w14:solidFill>
          </w14:textFill>
        </w:rPr>
        <w:t>实验与创新实践教育中心</w:t>
      </w:r>
      <w:r>
        <w:rPr>
          <w:rFonts w:hint="eastAsia"/>
          <w:color w:val="000000" w:themeColor="text1"/>
          <w:kern w:val="0"/>
          <w:szCs w:val="21"/>
          <w14:textFill>
            <w14:solidFill>
              <w14:schemeClr w14:val="tx1"/>
            </w14:solidFill>
          </w14:textFill>
        </w:rPr>
        <w:t>网站建设</w:t>
      </w:r>
      <w:r>
        <w:rPr>
          <w:color w:val="000000" w:themeColor="text1"/>
          <w:kern w:val="0"/>
          <w:szCs w:val="21"/>
          <w14:textFill>
            <w14:solidFill>
              <w14:schemeClr w14:val="tx1"/>
            </w14:solidFill>
          </w14:textFill>
        </w:rPr>
        <w:t>进行公开招标，欢迎符合资格</w:t>
      </w:r>
      <w:r>
        <w:rPr>
          <w:kern w:val="0"/>
          <w:szCs w:val="21"/>
        </w:rPr>
        <w:t>条件的供应商投标。</w:t>
      </w:r>
    </w:p>
    <w:p>
      <w:pPr>
        <w:ind w:firstLine="422" w:firstLineChars="200"/>
        <w:rPr>
          <w:b/>
          <w:szCs w:val="21"/>
        </w:rPr>
      </w:pPr>
      <w:r>
        <w:rPr>
          <w:b/>
          <w:szCs w:val="21"/>
        </w:rPr>
        <w:t>一、项目编号：HITSZ-EIC-IM01</w:t>
      </w:r>
    </w:p>
    <w:p>
      <w:pPr>
        <w:ind w:firstLine="422" w:firstLineChars="200"/>
        <w:rPr>
          <w:b/>
          <w:color w:val="000000" w:themeColor="text1"/>
          <w:kern w:val="0"/>
          <w:szCs w:val="21"/>
          <w14:textFill>
            <w14:solidFill>
              <w14:schemeClr w14:val="tx1"/>
            </w14:solidFill>
          </w14:textFill>
        </w:rPr>
      </w:pPr>
      <w:r>
        <w:rPr>
          <w:b/>
          <w:szCs w:val="21"/>
        </w:rPr>
        <w:t>二、项目名称：</w:t>
      </w:r>
      <w:r>
        <w:rPr>
          <w:rFonts w:hint="eastAsia"/>
          <w:b/>
          <w:kern w:val="0"/>
          <w:szCs w:val="21"/>
        </w:rPr>
        <w:t>哈尔滨工业大学（深圳</w:t>
      </w:r>
      <w:r>
        <w:rPr>
          <w:rFonts w:hint="eastAsia"/>
          <w:b/>
          <w:color w:val="000000" w:themeColor="text1"/>
          <w:kern w:val="0"/>
          <w:szCs w:val="21"/>
          <w14:textFill>
            <w14:solidFill>
              <w14:schemeClr w14:val="tx1"/>
            </w14:solidFill>
          </w14:textFill>
        </w:rPr>
        <w:t>）实验与创新实践教育中心网站建设</w:t>
      </w:r>
    </w:p>
    <w:p>
      <w:pPr>
        <w:ind w:firstLine="422" w:firstLineChars="200"/>
        <w:rPr>
          <w:color w:val="000000" w:themeColor="text1"/>
          <w:kern w:val="0"/>
          <w:szCs w:val="21"/>
          <w14:textFill>
            <w14:solidFill>
              <w14:schemeClr w14:val="tx1"/>
            </w14:solidFill>
          </w14:textFill>
        </w:rPr>
      </w:pPr>
      <w:r>
        <w:rPr>
          <w:b/>
          <w:color w:val="000000" w:themeColor="text1"/>
          <w:szCs w:val="21"/>
          <w14:textFill>
            <w14:solidFill>
              <w14:schemeClr w14:val="tx1"/>
            </w14:solidFill>
          </w14:textFill>
        </w:rPr>
        <w:t>三、</w:t>
      </w:r>
      <w:r>
        <w:rPr>
          <w:color w:val="000000" w:themeColor="text1"/>
          <w:kern w:val="0"/>
          <w:szCs w:val="21"/>
          <w14:textFill>
            <w14:solidFill>
              <w14:schemeClr w14:val="tx1"/>
            </w14:solidFill>
          </w14:textFill>
        </w:rPr>
        <w:t>项目内容及需求：(项目技术规格、参数及要求)</w:t>
      </w:r>
    </w:p>
    <w:p>
      <w:pPr>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1、项目内容：</w:t>
      </w:r>
      <w:r>
        <w:rPr>
          <w:rFonts w:hint="eastAsia"/>
          <w:color w:val="000000" w:themeColor="text1"/>
          <w:kern w:val="0"/>
          <w:szCs w:val="21"/>
          <w14:textFill>
            <w14:solidFill>
              <w14:schemeClr w14:val="tx1"/>
            </w14:solidFill>
          </w14:textFill>
        </w:rPr>
        <w:t>哈尔滨工业大学（深圳）实验与创新实践教育中心网站建设</w:t>
      </w:r>
    </w:p>
    <w:p>
      <w:pPr>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2、简要技术要求或招标项目的性质：详见采购文件项目内容。</w:t>
      </w:r>
    </w:p>
    <w:p>
      <w:pPr>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四、供应商资格条件：</w:t>
      </w:r>
    </w:p>
    <w:p>
      <w:pPr>
        <w:ind w:firstLine="420" w:firstLineChars="200"/>
        <w:rPr>
          <w:bCs/>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1、中华人民共和国境内注册的独立法人；</w:t>
      </w:r>
    </w:p>
    <w:p>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、本项目不接受联合体投标，不允许分包转包。</w:t>
      </w:r>
    </w:p>
    <w:p>
      <w:pPr>
        <w:ind w:firstLine="420" w:firstLineChars="20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五</w:t>
      </w:r>
      <w:r>
        <w:rPr>
          <w:color w:val="000000" w:themeColor="text1"/>
          <w:kern w:val="0"/>
          <w:szCs w:val="21"/>
          <w14:textFill>
            <w14:solidFill>
              <w14:schemeClr w14:val="tx1"/>
            </w14:solidFill>
          </w14:textFill>
        </w:rPr>
        <w:t>、报名方式及报名资料：现场报名，报名时须提交营业执照副本复印件、法定代表人证明书、授权委托书、经办人身份证复印件。以上证明材料须加盖公章用A4纸装订成册，原件备查。</w:t>
      </w:r>
    </w:p>
    <w:p>
      <w:pPr>
        <w:ind w:firstLine="420" w:firstLineChars="20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六</w:t>
      </w:r>
      <w:r>
        <w:rPr>
          <w:color w:val="000000" w:themeColor="text1"/>
          <w:kern w:val="0"/>
          <w:szCs w:val="21"/>
          <w14:textFill>
            <w14:solidFill>
              <w14:schemeClr w14:val="tx1"/>
            </w14:solidFill>
          </w14:textFill>
        </w:rPr>
        <w:t>、</w:t>
      </w:r>
      <w:r>
        <w:t>投标截止时间：201</w:t>
      </w:r>
      <w:r>
        <w:rPr>
          <w:rFonts w:hint="eastAsia"/>
        </w:rPr>
        <w:t>8</w:t>
      </w:r>
      <w:r>
        <w:t>年</w:t>
      </w:r>
      <w:r>
        <w:rPr>
          <w:rFonts w:hint="eastAsia"/>
        </w:rPr>
        <w:t>11月18日17时0</w:t>
      </w:r>
      <w:r>
        <w:t>0分</w:t>
      </w:r>
      <w:r>
        <w:rPr>
          <w:color w:val="000000" w:themeColor="text1"/>
          <w:kern w:val="0"/>
          <w:szCs w:val="21"/>
          <w14:textFill>
            <w14:solidFill>
              <w14:schemeClr w14:val="tx1"/>
            </w14:solidFill>
          </w14:textFill>
        </w:rPr>
        <w:t>。</w:t>
      </w:r>
    </w:p>
    <w:p>
      <w:pPr>
        <w:ind w:firstLine="420" w:firstLineChars="20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七</w:t>
      </w:r>
      <w:r>
        <w:rPr>
          <w:color w:val="000000" w:themeColor="text1"/>
          <w:kern w:val="0"/>
          <w:szCs w:val="21"/>
          <w14:textFill>
            <w14:solidFill>
              <w14:schemeClr w14:val="tx1"/>
            </w14:solidFill>
          </w14:textFill>
        </w:rPr>
        <w:t>、投标文件递交地点：</w:t>
      </w:r>
      <w:r>
        <w:t>深圳市</w:t>
      </w:r>
      <w:r>
        <w:rPr>
          <w:rFonts w:hint="eastAsia"/>
        </w:rPr>
        <w:t>南山区西丽大学城哈尔滨工业大学校区G栋508</w:t>
      </w:r>
      <w:r>
        <w:rPr>
          <w:color w:val="000000" w:themeColor="text1"/>
          <w:kern w:val="0"/>
          <w:szCs w:val="21"/>
          <w14:textFill>
            <w14:solidFill>
              <w14:schemeClr w14:val="tx1"/>
            </w14:solidFill>
          </w14:textFill>
        </w:rPr>
        <w:t>。</w:t>
      </w:r>
    </w:p>
    <w:p>
      <w:pPr>
        <w:ind w:firstLine="420" w:firstLineChars="20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八</w:t>
      </w:r>
      <w:r>
        <w:rPr>
          <w:color w:val="000000" w:themeColor="text1"/>
          <w:kern w:val="0"/>
          <w:szCs w:val="21"/>
          <w14:textFill>
            <w14:solidFill>
              <w14:schemeClr w14:val="tx1"/>
            </w14:solidFill>
          </w14:textFill>
        </w:rPr>
        <w:t>、开标评标时间：</w:t>
      </w:r>
      <w:r>
        <w:t>201</w:t>
      </w:r>
      <w:r>
        <w:rPr>
          <w:rFonts w:hint="eastAsia"/>
        </w:rPr>
        <w:t>8</w:t>
      </w:r>
      <w:r>
        <w:t>年</w:t>
      </w:r>
      <w:r>
        <w:rPr>
          <w:rFonts w:hint="eastAsia"/>
        </w:rPr>
        <w:t>11月21日14时0</w:t>
      </w:r>
      <w:r>
        <w:t>0分。</w:t>
      </w:r>
    </w:p>
    <w:p>
      <w:pPr>
        <w:ind w:firstLine="420" w:firstLineChars="20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九</w:t>
      </w:r>
      <w:r>
        <w:rPr>
          <w:color w:val="000000" w:themeColor="text1"/>
          <w:kern w:val="0"/>
          <w:szCs w:val="21"/>
          <w14:textFill>
            <w14:solidFill>
              <w14:schemeClr w14:val="tx1"/>
            </w14:solidFill>
          </w14:textFill>
        </w:rPr>
        <w:t>、评标办法：综合评分法。</w:t>
      </w:r>
    </w:p>
    <w:p>
      <w:pPr>
        <w:ind w:firstLine="420" w:firstLineChars="20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十、定标方法：自定法。</w:t>
      </w:r>
    </w:p>
    <w:p>
      <w:pPr>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十</w:t>
      </w:r>
      <w:r>
        <w:rPr>
          <w:rFonts w:hint="eastAsia"/>
          <w:color w:val="000000" w:themeColor="text1"/>
          <w:kern w:val="0"/>
          <w:szCs w:val="21"/>
          <w14:textFill>
            <w14:solidFill>
              <w14:schemeClr w14:val="tx1"/>
            </w14:solidFill>
          </w14:textFill>
        </w:rPr>
        <w:t>一</w:t>
      </w:r>
      <w:r>
        <w:rPr>
          <w:color w:val="000000" w:themeColor="text1"/>
          <w:kern w:val="0"/>
          <w:szCs w:val="21"/>
          <w14:textFill>
            <w14:solidFill>
              <w14:schemeClr w14:val="tx1"/>
            </w14:solidFill>
          </w14:textFill>
        </w:rPr>
        <w:t>、开标地点：</w:t>
      </w:r>
      <w:r>
        <w:rPr>
          <w:rFonts w:hint="eastAsia"/>
        </w:rPr>
        <w:t>深圳市南山区西丽大学城哈尔滨工业大学校区G栋514。</w:t>
      </w:r>
    </w:p>
    <w:p>
      <w:pPr>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十</w:t>
      </w:r>
      <w:r>
        <w:rPr>
          <w:rFonts w:hint="eastAsia"/>
          <w:color w:val="000000" w:themeColor="text1"/>
          <w:kern w:val="0"/>
          <w:szCs w:val="21"/>
          <w14:textFill>
            <w14:solidFill>
              <w14:schemeClr w14:val="tx1"/>
            </w14:solidFill>
          </w14:textFill>
        </w:rPr>
        <w:t>二</w:t>
      </w:r>
      <w:r>
        <w:rPr>
          <w:color w:val="000000" w:themeColor="text1"/>
          <w:kern w:val="0"/>
          <w:szCs w:val="21"/>
          <w14:textFill>
            <w14:solidFill>
              <w14:schemeClr w14:val="tx1"/>
            </w14:solidFill>
          </w14:textFill>
        </w:rPr>
        <w:t>、落实的政府采购政策</w:t>
      </w:r>
    </w:p>
    <w:p>
      <w:pPr>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国务院办公厅关于建立政府强制采购节能产品制度的通知》（国办发〔2007〕51号）、《财政部、环保总局关于环境标志产品政府采购实施的意见》（财库[2006]90号）、《中共深圳市委深圳市人民政府&lt;关于实施自主创新战略建设国家创新型城市的决定&gt;有关配套政策文件的通知》(深府办[2006]60号) 、《中共深圳市委、深圳市人民政府关于全面推进循环经济发展的决定》（深发〔2006〕9号）。</w:t>
      </w:r>
    </w:p>
    <w:p>
      <w:pPr>
        <w:ind w:firstLine="420" w:firstLineChars="200"/>
        <w:rPr>
          <w:bCs/>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十</w:t>
      </w:r>
      <w:r>
        <w:rPr>
          <w:rFonts w:hint="eastAsia"/>
          <w:color w:val="000000" w:themeColor="text1"/>
          <w:kern w:val="0"/>
          <w:szCs w:val="21"/>
          <w14:textFill>
            <w14:solidFill>
              <w14:schemeClr w14:val="tx1"/>
            </w14:solidFill>
          </w14:textFill>
        </w:rPr>
        <w:t>三</w:t>
      </w:r>
      <w:r>
        <w:rPr>
          <w:color w:val="000000" w:themeColor="text1"/>
          <w:kern w:val="0"/>
          <w:szCs w:val="21"/>
          <w14:textFill>
            <w14:solidFill>
              <w14:schemeClr w14:val="tx1"/>
            </w14:solidFill>
          </w14:textFill>
        </w:rPr>
        <w:t>、</w:t>
      </w:r>
      <w:r>
        <w:rPr>
          <w:bCs/>
          <w:color w:val="000000" w:themeColor="text1"/>
          <w:kern w:val="0"/>
          <w:szCs w:val="21"/>
          <w14:textFill>
            <w14:solidFill>
              <w14:schemeClr w14:val="tx1"/>
            </w14:solidFill>
          </w14:textFill>
        </w:rPr>
        <w:t>其他要求：</w:t>
      </w:r>
    </w:p>
    <w:p>
      <w:pPr>
        <w:widowControl/>
        <w:ind w:firstLine="420" w:firstLineChars="20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1、供应商</w:t>
      </w:r>
      <w:r>
        <w:rPr>
          <w:rFonts w:hint="eastAsia"/>
          <w:color w:val="000000" w:themeColor="text1"/>
          <w:kern w:val="0"/>
          <w:szCs w:val="21"/>
          <w14:textFill>
            <w14:solidFill>
              <w14:schemeClr w14:val="tx1"/>
            </w14:solidFill>
          </w14:textFill>
        </w:rPr>
        <w:t>临时退出招标的</w:t>
      </w:r>
      <w:r>
        <w:rPr>
          <w:color w:val="000000" w:themeColor="text1"/>
          <w:kern w:val="0"/>
          <w:szCs w:val="21"/>
          <w14:textFill>
            <w14:solidFill>
              <w14:schemeClr w14:val="tx1"/>
            </w14:solidFill>
          </w14:textFill>
        </w:rPr>
        <w:t>，请在开标前3日以书面形式通知招标机构（开标当日不计算在内）。</w:t>
      </w:r>
    </w:p>
    <w:p>
      <w:pPr>
        <w:widowControl/>
        <w:ind w:firstLine="420" w:firstLineChars="20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2、本采购文件解释权归</w:t>
      </w:r>
      <w:r>
        <w:rPr>
          <w:rFonts w:hint="eastAsia"/>
          <w:color w:val="000000" w:themeColor="text1"/>
          <w:kern w:val="0"/>
          <w:szCs w:val="21"/>
          <w14:textFill>
            <w14:solidFill>
              <w14:schemeClr w14:val="tx1"/>
            </w14:solidFill>
          </w14:textFill>
        </w:rPr>
        <w:t>哈尔滨工业大学（深圳）实验与创新实践教育中心</w:t>
      </w:r>
      <w:r>
        <w:rPr>
          <w:color w:val="000000" w:themeColor="text1"/>
          <w:kern w:val="0"/>
          <w:szCs w:val="21"/>
          <w14:textFill>
            <w14:solidFill>
              <w14:schemeClr w14:val="tx1"/>
            </w14:solidFill>
          </w14:textFill>
        </w:rPr>
        <w:t>所有。</w:t>
      </w:r>
    </w:p>
    <w:p>
      <w:pPr>
        <w:widowControl/>
        <w:ind w:firstLine="413" w:firstLineChars="196"/>
        <w:jc w:val="left"/>
        <w:rPr>
          <w:color w:val="000000" w:themeColor="text1"/>
          <w:kern w:val="0"/>
          <w:szCs w:val="21"/>
          <w14:textFill>
            <w14:solidFill>
              <w14:schemeClr w14:val="tx1"/>
            </w14:solidFill>
          </w14:textFill>
        </w:rPr>
      </w:pPr>
      <w:r>
        <w:rPr>
          <w:b/>
          <w:bCs/>
          <w:color w:val="000000" w:themeColor="text1"/>
          <w:szCs w:val="21"/>
          <w14:textFill>
            <w14:solidFill>
              <w14:schemeClr w14:val="tx1"/>
            </w14:solidFill>
          </w14:textFill>
        </w:rPr>
        <w:t>重要提示：</w:t>
      </w:r>
      <w:r>
        <w:rPr>
          <w:color w:val="000000" w:themeColor="text1"/>
          <w:szCs w:val="21"/>
          <w14:textFill>
            <w14:solidFill>
              <w14:schemeClr w14:val="tx1"/>
            </w14:solidFill>
          </w14:textFill>
        </w:rPr>
        <w:t>供应商有义务在招标活动期间浏览</w:t>
      </w:r>
      <w:r>
        <w:rPr>
          <w:rFonts w:hint="eastAsia"/>
          <w:color w:val="000000" w:themeColor="text1"/>
          <w:szCs w:val="21"/>
          <w14:textFill>
            <w14:solidFill>
              <w14:schemeClr w14:val="tx1"/>
            </w14:solidFill>
          </w14:textFill>
        </w:rPr>
        <w:t>哈尔滨工业大学（深圳）官网（www.hitsz.edu.cn）</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招标方</w:t>
      </w:r>
      <w:r>
        <w:rPr>
          <w:color w:val="000000" w:themeColor="text1"/>
          <w:szCs w:val="21"/>
          <w14:textFill>
            <w14:solidFill>
              <w14:schemeClr w14:val="tx1"/>
            </w14:solidFill>
          </w14:textFill>
        </w:rPr>
        <w:t>在以上网站公布的与本次招标项目有关的信息视为已送达各供应商。</w:t>
      </w: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联系部门</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哈尔滨工业大学（深圳）实验与创新实践教育中心</w:t>
      </w:r>
    </w:p>
    <w:p>
      <w:pPr>
        <w:ind w:firstLine="840" w:firstLineChars="4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联系人：</w:t>
      </w:r>
      <w:r>
        <w:rPr>
          <w:rFonts w:hint="eastAsia"/>
        </w:rPr>
        <w:t>徐老师</w:t>
      </w:r>
    </w:p>
    <w:p>
      <w:pPr>
        <w:ind w:firstLine="840" w:firstLineChars="4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联系电话：</w:t>
      </w:r>
      <w:r>
        <w:rPr>
          <w:rFonts w:hint="eastAsia"/>
        </w:rPr>
        <w:t>18355180352</w:t>
      </w:r>
    </w:p>
    <w:p>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公告查询网址</w:t>
      </w:r>
      <w:r>
        <w:rPr>
          <w:rFonts w:hint="eastAsia"/>
          <w:color w:val="000000" w:themeColor="text1"/>
          <w:szCs w:val="21"/>
          <w14:textFill>
            <w14:solidFill>
              <w14:schemeClr w14:val="tx1"/>
            </w14:solidFill>
          </w14:textFill>
        </w:rPr>
        <w:t>：www.hitsz.edu.cn</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哈尔滨工业大学（深圳）官网</w:t>
      </w:r>
      <w:r>
        <w:rPr>
          <w:color w:val="000000" w:themeColor="text1"/>
          <w:szCs w:val="21"/>
          <w14:textFill>
            <w14:solidFill>
              <w14:schemeClr w14:val="tx1"/>
            </w14:solidFill>
          </w14:textFill>
        </w:rPr>
        <w:t>）</w:t>
      </w:r>
    </w:p>
    <w:p>
      <w:pPr>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w:t>
      </w:r>
    </w:p>
    <w:p>
      <w:pPr>
        <w:widowControl/>
        <w:spacing w:before="100" w:beforeAutospacing="1" w:after="100" w:afterAutospacing="1"/>
        <w:ind w:right="560" w:firstLine="2730" w:firstLineChars="1300"/>
        <w:jc w:val="righ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哈尔滨工业大学（深圳）实验与创新实践教育中心</w:t>
      </w:r>
    </w:p>
    <w:p>
      <w:pPr>
        <w:pStyle w:val="7"/>
        <w:adjustRightInd w:val="0"/>
        <w:snapToGrid w:val="0"/>
        <w:ind w:right="420" w:firstLine="6615" w:firstLineChars="3150"/>
        <w:rPr>
          <w:color w:val="000000" w:themeColor="text1"/>
          <w:szCs w:val="21"/>
          <w14:textFill>
            <w14:solidFill>
              <w14:schemeClr w14:val="tx1"/>
            </w14:solidFill>
          </w14:textFill>
        </w:rPr>
      </w:pPr>
      <w:r>
        <w:rPr>
          <w:rFonts w:hint="eastAsia"/>
          <w:color w:val="000000" w:themeColor="text1"/>
          <w:kern w:val="0"/>
          <w:szCs w:val="21"/>
          <w14:textFill>
            <w14:solidFill>
              <w14:schemeClr w14:val="tx1"/>
            </w14:solidFill>
          </w14:textFill>
        </w:rPr>
        <w:t>二〇一八年十一月九日</w:t>
      </w:r>
    </w:p>
    <w:p>
      <w:pPr>
        <w:pStyle w:val="21"/>
        <w:spacing w:before="120" w:after="120"/>
        <w:outlineLvl w:val="1"/>
        <w:rPr>
          <w:rFonts w:ascii="Times New Roman" w:hAnsi="Times New Roman"/>
          <w:color w:val="000000" w:themeColor="text1"/>
          <w14:textFill>
            <w14:solidFill>
              <w14:schemeClr w14:val="tx1"/>
            </w14:solidFill>
          </w14:textFill>
        </w:rPr>
      </w:pPr>
      <w:r>
        <w:rPr>
          <w:rFonts w:ascii="Times New Roman" w:hAnsi="Times New Roman" w:eastAsia="黑体"/>
          <w:b w:val="0"/>
          <w:color w:val="000000" w:themeColor="text1"/>
          <w:sz w:val="30"/>
          <w:szCs w:val="30"/>
          <w14:textFill>
            <w14:solidFill>
              <w14:schemeClr w14:val="tx1"/>
            </w14:solidFill>
          </w14:textFill>
        </w:rPr>
        <w:br w:type="page"/>
      </w:r>
      <w:r>
        <w:rPr>
          <w:rFonts w:ascii="Times New Roman" w:hAnsi="Times New Roman" w:eastAsia="黑体"/>
          <w:b w:val="0"/>
          <w:color w:val="000000" w:themeColor="text1"/>
          <w:sz w:val="30"/>
          <w:szCs w:val="30"/>
          <w14:textFill>
            <w14:solidFill>
              <w14:schemeClr w14:val="tx1"/>
            </w14:solidFill>
          </w14:textFill>
        </w:rPr>
        <w:t>第二章</w:t>
      </w:r>
      <w:r>
        <w:rPr>
          <w:rFonts w:hint="eastAsia" w:ascii="Times New Roman" w:hAnsi="Times New Roman" w:eastAsia="黑体"/>
          <w:b w:val="0"/>
          <w:color w:val="000000" w:themeColor="text1"/>
          <w:sz w:val="30"/>
          <w:szCs w:val="30"/>
          <w14:textFill>
            <w14:solidFill>
              <w14:schemeClr w14:val="tx1"/>
            </w14:solidFill>
          </w14:textFill>
        </w:rPr>
        <w:t xml:space="preserve"> </w:t>
      </w:r>
      <w:r>
        <w:rPr>
          <w:rFonts w:ascii="Times New Roman" w:hAnsi="Times New Roman" w:eastAsia="黑体"/>
          <w:b w:val="0"/>
          <w:color w:val="000000" w:themeColor="text1"/>
          <w:sz w:val="30"/>
          <w:szCs w:val="30"/>
          <w14:textFill>
            <w14:solidFill>
              <w14:schemeClr w14:val="tx1"/>
            </w14:solidFill>
          </w14:textFill>
        </w:rPr>
        <w:t>项目需求</w:t>
      </w:r>
    </w:p>
    <w:p>
      <w:pPr>
        <w:snapToGrid w:val="0"/>
        <w:rPr>
          <w:rFonts w:eastAsia="黑体"/>
          <w:b/>
          <w:color w:val="000000" w:themeColor="text1"/>
          <w:sz w:val="28"/>
          <w:szCs w:val="28"/>
          <w14:textFill>
            <w14:solidFill>
              <w14:schemeClr w14:val="tx1"/>
            </w14:solidFill>
          </w14:textFill>
        </w:rPr>
      </w:pPr>
      <w:r>
        <w:rPr>
          <w:rFonts w:eastAsia="黑体"/>
          <w:b/>
          <w:color w:val="000000" w:themeColor="text1"/>
          <w:sz w:val="28"/>
          <w:szCs w:val="28"/>
          <w14:textFill>
            <w14:solidFill>
              <w14:schemeClr w14:val="tx1"/>
            </w14:solidFill>
          </w14:textFill>
        </w:rPr>
        <w:t>重点提示：</w:t>
      </w:r>
    </w:p>
    <w:p>
      <w:pPr>
        <w:ind w:firstLine="413" w:firstLineChars="196"/>
        <w:rPr>
          <w:b/>
          <w:color w:val="000000" w:themeColor="text1"/>
          <w:szCs w:val="21"/>
          <w14:textFill>
            <w14:solidFill>
              <w14:schemeClr w14:val="tx1"/>
            </w14:solidFill>
          </w14:textFill>
        </w:rPr>
      </w:pPr>
      <w:r>
        <w:rPr>
          <w:b/>
          <w:color w:val="000000" w:themeColor="text1"/>
          <w:szCs w:val="21"/>
          <w14:textFill>
            <w14:solidFill>
              <w14:schemeClr w14:val="tx1"/>
            </w14:solidFill>
          </w14:textFill>
        </w:rPr>
        <w:t>1.招标文件澄清的说明</w:t>
      </w:r>
    </w:p>
    <w:p>
      <w:pPr>
        <w:snapToGrid w:val="0"/>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根据招标文件第一部分第二章第九款“招标文件的澄清”的规定，任何要求对招标文件进行澄清的投标人，均应于“招标公告”中所述答疑截止时间前书面通知</w:t>
      </w:r>
      <w:r>
        <w:rPr>
          <w:rFonts w:hint="eastAsia"/>
          <w:color w:val="000000" w:themeColor="text1"/>
          <w14:textFill>
            <w14:solidFill>
              <w14:schemeClr w14:val="tx1"/>
            </w14:solidFill>
          </w14:textFill>
        </w:rPr>
        <w:t>招标方</w:t>
      </w:r>
      <w:r>
        <w:rPr>
          <w:color w:val="000000" w:themeColor="text1"/>
          <w14:textFill>
            <w14:solidFill>
              <w14:schemeClr w14:val="tx1"/>
            </w14:solidFill>
          </w14:textFill>
        </w:rPr>
        <w:t>。对于没有提出澄清又参与了该项目投标的供应商将被视为完全认同该招标文件，投标截止期后不再受理针对招标文件的相关投诉。对采购文件中描述有歧义或前后不一致的地方，评标委员会有权进行评判，但对同一条款的评判应适用于每个投标人。</w:t>
      </w:r>
    </w:p>
    <w:p>
      <w:pPr>
        <w:ind w:firstLine="413" w:firstLineChars="196"/>
        <w:rPr>
          <w:b/>
          <w:color w:val="000000" w:themeColor="text1"/>
          <w:szCs w:val="21"/>
          <w14:textFill>
            <w14:solidFill>
              <w14:schemeClr w14:val="tx1"/>
            </w14:solidFill>
          </w14:textFill>
        </w:rPr>
      </w:pPr>
      <w:r>
        <w:rPr>
          <w:b/>
          <w:color w:val="000000" w:themeColor="text1"/>
          <w:szCs w:val="21"/>
          <w14:textFill>
            <w14:solidFill>
              <w14:schemeClr w14:val="tx1"/>
            </w14:solidFill>
          </w14:textFill>
        </w:rPr>
        <w:t>2.参考品牌的说明</w:t>
      </w:r>
    </w:p>
    <w:p>
      <w:pPr>
        <w:ind w:firstLine="411" w:firstLineChars="196"/>
        <w:rPr>
          <w:b/>
          <w:color w:val="000000" w:themeColor="text1"/>
          <w:sz w:val="28"/>
          <w:szCs w:val="28"/>
          <w14:textFill>
            <w14:solidFill>
              <w14:schemeClr w14:val="tx1"/>
            </w14:solidFill>
          </w14:textFill>
        </w:rPr>
      </w:pPr>
      <w:r>
        <w:rPr>
          <w:color w:val="000000" w:themeColor="text1"/>
          <w14:textFill>
            <w14:solidFill>
              <w14:schemeClr w14:val="tx1"/>
            </w14:solidFill>
          </w14:textFill>
        </w:rPr>
        <w:t>招标文件中所涉及产品品牌均为质量“相当于”要求，非指定性要求，投标人可自主选择质量相</w:t>
      </w:r>
      <w:r>
        <w:rPr>
          <w:rFonts w:hint="eastAsia"/>
          <w:color w:val="000000" w:themeColor="text1"/>
          <w14:textFill>
            <w14:solidFill>
              <w14:schemeClr w14:val="tx1"/>
            </w14:solidFill>
          </w14:textFill>
        </w:rPr>
        <w:t>同</w:t>
      </w:r>
      <w:r>
        <w:rPr>
          <w:color w:val="000000" w:themeColor="text1"/>
          <w14:textFill>
            <w14:solidFill>
              <w14:schemeClr w14:val="tx1"/>
            </w14:solidFill>
          </w14:textFill>
        </w:rPr>
        <w:t>的其他品牌产品投标。</w:t>
      </w:r>
    </w:p>
    <w:p>
      <w:pPr>
        <w:ind w:firstLine="413" w:firstLineChars="196"/>
        <w:rPr>
          <w:b/>
          <w:color w:val="000000" w:themeColor="text1"/>
          <w14:textFill>
            <w14:solidFill>
              <w14:schemeClr w14:val="tx1"/>
            </w14:solidFill>
          </w14:textFill>
        </w:rPr>
      </w:pPr>
      <w:r>
        <w:rPr>
          <w:b/>
          <w:color w:val="000000" w:themeColor="text1"/>
          <w14:textFill>
            <w14:solidFill>
              <w14:schemeClr w14:val="tx1"/>
            </w14:solidFill>
          </w14:textFill>
        </w:rPr>
        <w:t>3、政策导向</w:t>
      </w:r>
    </w:p>
    <w:p>
      <w:pPr>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3.1按照《国务院办公厅关于建立政府强制采购节能产品制度的通知》（国办发〔2007〕51号）、《财政部、环保总局关于环境标志产品政府采购实施的意见》（财库[2006]90号）、《中共深圳市委深圳市人民政府&lt;关于实施自主创新战略建设国家创新型城市的决定&gt;有关配套政策文件的通知》(深府办[2006]60号) 、《中共深圳市委、深圳市人民政府关于全面推进循环经济发展的决定》（深发〔2006〕9号）等的要求，以下产品列入政府优先采购清单，我市政府采购组织实施中，在技术、服务等指标满足采购需求的前提下，优先采购以下清单范围内产品：</w:t>
      </w:r>
    </w:p>
    <w:p>
      <w:pPr>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3.1.1财政部、国家发展和改革委员会制定的《节能产品政府采购清单》，财政部、环境保护部制定的《环境标志产品政府采购清单》中列示的企业及产品，详见中国政府采购网（http://www.ccgp.gov.cn/）首页。</w:t>
      </w:r>
    </w:p>
    <w:p>
      <w:pPr>
        <w:pStyle w:val="21"/>
        <w:spacing w:before="120" w:after="120"/>
        <w:ind w:firstLine="434"/>
        <w:jc w:val="left"/>
        <w:outlineLvl w:val="1"/>
        <w:rPr>
          <w:rFonts w:ascii="Times New Roman" w:hAnsi="Times New Roman" w:eastAsia="宋体"/>
          <w:b w:val="0"/>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3.2进入以上清单范围的投标产品将在评标时获得竞争优势。</w:t>
      </w:r>
    </w:p>
    <w:p>
      <w:pPr>
        <w:jc w:val="center"/>
        <w:rPr>
          <w:rFonts w:ascii="黑体" w:hAnsi="黑体" w:eastAsia="黑体"/>
          <w:color w:val="000000" w:themeColor="text1"/>
          <w:sz w:val="32"/>
          <w:szCs w:val="32"/>
          <w14:textFill>
            <w14:solidFill>
              <w14:schemeClr w14:val="tx1"/>
            </w14:solidFill>
          </w14:textFill>
        </w:rPr>
      </w:pPr>
      <w:r>
        <w:rPr>
          <w:b/>
          <w:color w:val="000000" w:themeColor="text1"/>
          <w:szCs w:val="21"/>
          <w14:textFill>
            <w14:solidFill>
              <w14:schemeClr w14:val="tx1"/>
            </w14:solidFill>
          </w14:textFill>
        </w:rPr>
        <w:br w:type="page"/>
      </w:r>
      <w:r>
        <w:rPr>
          <w:rFonts w:hint="eastAsia" w:ascii="黑体" w:hAnsi="黑体" w:eastAsia="黑体"/>
          <w:color w:val="000000" w:themeColor="text1"/>
          <w:sz w:val="32"/>
          <w:szCs w:val="32"/>
          <w14:textFill>
            <w14:solidFill>
              <w14:schemeClr w14:val="tx1"/>
            </w14:solidFill>
          </w14:textFill>
        </w:rPr>
        <w:t>用户需求书</w:t>
      </w:r>
      <w:bookmarkStart w:id="221" w:name="_Toc100052357"/>
      <w:bookmarkEnd w:id="221"/>
      <w:bookmarkStart w:id="222" w:name="_Toc101074867"/>
      <w:bookmarkEnd w:id="222"/>
    </w:p>
    <w:p>
      <w:pPr>
        <w:ind w:firstLine="413" w:firstLineChars="196"/>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一、</w:t>
      </w:r>
      <w:r>
        <w:rPr>
          <w:b/>
          <w:color w:val="000000" w:themeColor="text1"/>
          <w:szCs w:val="21"/>
          <w14:textFill>
            <w14:solidFill>
              <w14:schemeClr w14:val="tx1"/>
            </w14:solidFill>
          </w14:textFill>
        </w:rPr>
        <w:t>项目背景</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实验与创新实践教育中心网站是学校信息化建设的重要组成部分，网站的建立对于扩大校区影响力，提高办事效率，宣传校区良好形象起到积极的作用。为向全校师生提供全面、权威、快速的信息交互平台和问题解决通道，建立一个稳定可靠，简明美观、交互性好的实验与创新实践教育中心网站势在必行。</w:t>
      </w:r>
    </w:p>
    <w:p>
      <w:pPr>
        <w:ind w:firstLine="413" w:firstLineChars="196"/>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二、</w:t>
      </w:r>
      <w:r>
        <w:rPr>
          <w:b/>
          <w:color w:val="000000" w:themeColor="text1"/>
          <w:szCs w:val="21"/>
          <w14:textFill>
            <w14:solidFill>
              <w14:schemeClr w14:val="tx1"/>
            </w14:solidFill>
          </w14:textFill>
        </w:rPr>
        <w:t>服务类清单</w:t>
      </w:r>
    </w:p>
    <w:tbl>
      <w:tblPr>
        <w:tblStyle w:val="24"/>
        <w:tblW w:w="9229" w:type="dxa"/>
        <w:tblInd w:w="95" w:type="dxa"/>
        <w:tblLayout w:type="fixed"/>
        <w:tblCellMar>
          <w:top w:w="0" w:type="dxa"/>
          <w:left w:w="108" w:type="dxa"/>
          <w:bottom w:w="0" w:type="dxa"/>
          <w:right w:w="108" w:type="dxa"/>
        </w:tblCellMar>
      </w:tblPr>
      <w:tblGrid>
        <w:gridCol w:w="496"/>
        <w:gridCol w:w="1502"/>
        <w:gridCol w:w="1134"/>
        <w:gridCol w:w="709"/>
        <w:gridCol w:w="708"/>
        <w:gridCol w:w="3361"/>
        <w:gridCol w:w="1319"/>
      </w:tblGrid>
      <w:tr>
        <w:tblPrEx>
          <w:tblCellMar>
            <w:top w:w="0" w:type="dxa"/>
            <w:left w:w="108" w:type="dxa"/>
            <w:bottom w:w="0" w:type="dxa"/>
            <w:right w:w="108" w:type="dxa"/>
          </w:tblCellMar>
        </w:tblPrEx>
        <w:trPr>
          <w:trHeight w:val="252" w:hRule="atLeast"/>
        </w:trPr>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15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采购计划编号</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需求内容</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数量</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单位</w:t>
            </w:r>
          </w:p>
        </w:tc>
        <w:tc>
          <w:tcPr>
            <w:tcW w:w="33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备注</w:t>
            </w:r>
          </w:p>
        </w:tc>
        <w:tc>
          <w:tcPr>
            <w:tcW w:w="13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财政预算限额</w:t>
            </w:r>
            <w:r>
              <w:rPr>
                <w:b/>
                <w:bCs/>
                <w:color w:val="000000" w:themeColor="text1"/>
                <w:kern w:val="0"/>
                <w:szCs w:val="21"/>
                <w14:textFill>
                  <w14:solidFill>
                    <w14:schemeClr w14:val="tx1"/>
                  </w14:solidFill>
                </w14:textFill>
              </w:rPr>
              <w:t>(</w:t>
            </w:r>
            <w:r>
              <w:rPr>
                <w:rFonts w:hint="eastAsia" w:ascii="宋体" w:hAnsi="宋体" w:cs="宋体"/>
                <w:b/>
                <w:bCs/>
                <w:color w:val="000000" w:themeColor="text1"/>
                <w:kern w:val="0"/>
                <w:szCs w:val="21"/>
                <w14:textFill>
                  <w14:solidFill>
                    <w14:schemeClr w14:val="tx1"/>
                  </w14:solidFill>
                </w14:textFill>
              </w:rPr>
              <w:t>元</w:t>
            </w:r>
            <w:r>
              <w:rPr>
                <w:b/>
                <w:bCs/>
                <w:color w:val="000000" w:themeColor="text1"/>
                <w:kern w:val="0"/>
                <w:szCs w:val="21"/>
                <w14:textFill>
                  <w14:solidFill>
                    <w14:schemeClr w14:val="tx1"/>
                  </w14:solidFill>
                </w14:textFill>
              </w:rPr>
              <w:t>)</w:t>
            </w:r>
          </w:p>
        </w:tc>
      </w:tr>
      <w:tr>
        <w:tblPrEx>
          <w:tblCellMar>
            <w:top w:w="0" w:type="dxa"/>
            <w:left w:w="108" w:type="dxa"/>
            <w:bottom w:w="0" w:type="dxa"/>
            <w:right w:w="108" w:type="dxa"/>
          </w:tblCellMar>
        </w:tblPrEx>
        <w:trPr>
          <w:trHeight w:val="1975" w:hRule="atLeast"/>
        </w:trPr>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p>
        </w:tc>
        <w:tc>
          <w:tcPr>
            <w:tcW w:w="1502"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themeColor="text1"/>
                <w:kern w:val="0"/>
                <w:szCs w:val="2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color w:val="000000" w:themeColor="text1"/>
                <w14:textFill>
                  <w14:solidFill>
                    <w14:schemeClr w14:val="tx1"/>
                  </w14:solidFill>
                </w14:textFill>
              </w:rPr>
              <w:t>实验中心门户网站</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1.0</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项</w:t>
            </w:r>
          </w:p>
        </w:tc>
        <w:tc>
          <w:tcPr>
            <w:tcW w:w="336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14:textFill>
                  <w14:solidFill>
                    <w14:schemeClr w14:val="tx1"/>
                  </w14:solidFill>
                </w14:textFill>
              </w:rPr>
            </w:pPr>
            <w:r>
              <w:rPr>
                <w:rFonts w:hint="eastAsia"/>
                <w:color w:val="000000" w:themeColor="text1"/>
                <w14:textFill>
                  <w14:solidFill>
                    <w14:schemeClr w14:val="tx1"/>
                  </w14:solidFill>
                </w14:textFill>
              </w:rPr>
              <w:t>实验中心集中展示门户，网站群架构，主要包括：（1）前端建设，包括首页、中心概况、中心机构、实验教学、实验设备、创新实践、规章制度、下载中心等；（2）后台管理，包括权限管理、信息更新和发布、首页管理、栏目管理、资源管理等功能；（3）可视化展示，建立学校、实验中心、实验室三级地理位置展示结构，实现基于位置标识的内容（flash/全景图片/视频/微课等）动态配置，可实现与其他系统资源数据集成提供动态数据显示，可对接电子班牌、拼接屏等多种设备。另外，整个网站应为响应式网站，能在PC端及各尺寸的安卓、IOS设备上进行适配。网站需实现与实验室管理系统数据对接及实时联动。网站可配合实验中心组织结构，提供多级化层次信息发布，需预留动态信息发布接口，可实现与校级平台的数据对接。网站包括中文版和英文版。</w:t>
            </w:r>
          </w:p>
        </w:tc>
        <w:tc>
          <w:tcPr>
            <w:tcW w:w="1319"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60000</w:t>
            </w:r>
          </w:p>
        </w:tc>
      </w:tr>
    </w:tbl>
    <w:p>
      <w:pPr>
        <w:ind w:firstLine="413" w:firstLineChars="196"/>
        <w:rPr>
          <w:b/>
          <w:color w:val="000000" w:themeColor="text1"/>
          <w:szCs w:val="21"/>
          <w14:textFill>
            <w14:solidFill>
              <w14:schemeClr w14:val="tx1"/>
            </w14:solidFill>
          </w14:textFill>
        </w:rPr>
      </w:pPr>
    </w:p>
    <w:p>
      <w:pPr>
        <w:ind w:firstLine="413" w:firstLineChars="196"/>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三、</w:t>
      </w:r>
      <w:r>
        <w:rPr>
          <w:b/>
          <w:color w:val="000000" w:themeColor="text1"/>
          <w:szCs w:val="21"/>
          <w14:textFill>
            <w14:solidFill>
              <w14:schemeClr w14:val="tx1"/>
            </w14:solidFill>
          </w14:textFill>
        </w:rPr>
        <w:t>具体技术要求</w:t>
      </w:r>
    </w:p>
    <w:p>
      <w:pPr>
        <w:ind w:firstLine="422" w:firstLineChars="20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（一）建设内容</w:t>
      </w:r>
    </w:p>
    <w:p>
      <w:pPr>
        <w:ind w:firstLine="422" w:firstLineChars="200"/>
        <w:rPr>
          <w:b/>
          <w:color w:val="000000" w:themeColor="text1"/>
          <w:szCs w:val="21"/>
          <w14:textFill>
            <w14:solidFill>
              <w14:schemeClr w14:val="tx1"/>
            </w14:solidFill>
          </w14:textFill>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127"/>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242" w:type="dxa"/>
          </w:tcPr>
          <w:p>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序号</w:t>
            </w:r>
          </w:p>
        </w:tc>
        <w:tc>
          <w:tcPr>
            <w:tcW w:w="2127" w:type="dxa"/>
          </w:tcPr>
          <w:p>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功能模块</w:t>
            </w:r>
          </w:p>
        </w:tc>
        <w:tc>
          <w:tcPr>
            <w:tcW w:w="6379" w:type="dxa"/>
          </w:tcPr>
          <w:p>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trPr>
        <w:tc>
          <w:tcPr>
            <w:tcW w:w="124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8506" w:type="dxa"/>
            <w:gridSpan w:val="2"/>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前端主要功能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trPr>
        <w:tc>
          <w:tcPr>
            <w:tcW w:w="124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8506" w:type="dxa"/>
            <w:gridSpan w:val="2"/>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首页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trPr>
        <w:tc>
          <w:tcPr>
            <w:tcW w:w="124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1.1.1</w:t>
            </w:r>
          </w:p>
        </w:tc>
        <w:tc>
          <w:tcPr>
            <w:tcW w:w="2127"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工具栏</w:t>
            </w:r>
          </w:p>
        </w:tc>
        <w:tc>
          <w:tcPr>
            <w:tcW w:w="6379" w:type="dxa"/>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包含</w:t>
            </w:r>
            <w:r>
              <w:rPr>
                <w:rFonts w:hint="eastAsia" w:ascii="宋体" w:hAnsi="宋体" w:cs="宋体"/>
                <w:color w:val="000000" w:themeColor="text1"/>
                <w:kern w:val="0"/>
                <w:szCs w:val="21"/>
                <w14:textFill>
                  <w14:solidFill>
                    <w14:schemeClr w14:val="tx1"/>
                  </w14:solidFill>
                </w14:textFill>
              </w:rPr>
              <w:t>中心概况、中心机构、实验教学、实验设备、创新实践、规章制度、下载中心等，栏目可以根据用户需求后期设置。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1242"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1.1.2</w:t>
            </w:r>
          </w:p>
        </w:tc>
        <w:tc>
          <w:tcPr>
            <w:tcW w:w="2127"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轮播图</w:t>
            </w:r>
          </w:p>
        </w:tc>
        <w:tc>
          <w:tcPr>
            <w:tcW w:w="6379" w:type="dxa"/>
          </w:tcPr>
          <w:p>
            <w:pPr>
              <w:jc w:val="left"/>
              <w:rPr>
                <w:color w:val="000000" w:themeColor="text1"/>
                <w14:textFill>
                  <w14:solidFill>
                    <w14:schemeClr w14:val="tx1"/>
                  </w14:solidFill>
                </w14:textFill>
              </w:rPr>
            </w:pPr>
            <w:r>
              <w:rPr>
                <w:color w:val="000000" w:themeColor="text1"/>
                <w14:textFill>
                  <w14:solidFill>
                    <w14:schemeClr w14:val="tx1"/>
                  </w14:solidFill>
                </w14:textFill>
              </w:rPr>
              <w:t>以图片</w:t>
            </w:r>
            <w:r>
              <w:rPr>
                <w:rFonts w:hint="eastAsia"/>
                <w:color w:val="000000" w:themeColor="text1"/>
                <w14:textFill>
                  <w14:solidFill>
                    <w14:schemeClr w14:val="tx1"/>
                  </w14:solidFill>
                </w14:textFill>
              </w:rPr>
              <w:t>轮播方式</w:t>
            </w:r>
            <w:r>
              <w:rPr>
                <w:color w:val="000000" w:themeColor="text1"/>
                <w14:textFill>
                  <w14:solidFill>
                    <w14:schemeClr w14:val="tx1"/>
                  </w14:solidFill>
                </w14:textFill>
              </w:rPr>
              <w:t>介绍</w:t>
            </w:r>
            <w:r>
              <w:rPr>
                <w:rFonts w:hint="eastAsia"/>
                <w:color w:val="000000" w:themeColor="text1"/>
                <w14:textFill>
                  <w14:solidFill>
                    <w14:schemeClr w14:val="tx1"/>
                  </w14:solidFill>
                </w14:textFill>
              </w:rPr>
              <w:t>实验中心的学科实验室</w:t>
            </w:r>
            <w:r>
              <w:rPr>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1242"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1.1.3</w:t>
            </w:r>
          </w:p>
        </w:tc>
        <w:tc>
          <w:tcPr>
            <w:tcW w:w="2127"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实验中心动态</w:t>
            </w:r>
          </w:p>
        </w:tc>
        <w:tc>
          <w:tcPr>
            <w:tcW w:w="6379" w:type="dxa"/>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展示</w:t>
            </w:r>
            <w:r>
              <w:rPr>
                <w:color w:val="000000" w:themeColor="text1"/>
                <w14:textFill>
                  <w14:solidFill>
                    <w14:schemeClr w14:val="tx1"/>
                  </w14:solidFill>
                </w14:textFill>
              </w:rPr>
              <w:t>近期</w:t>
            </w:r>
            <w:r>
              <w:rPr>
                <w:rFonts w:hint="eastAsia"/>
                <w:color w:val="000000" w:themeColor="text1"/>
                <w14:textFill>
                  <w14:solidFill>
                    <w14:schemeClr w14:val="tx1"/>
                  </w14:solidFill>
                </w14:textFill>
              </w:rPr>
              <w:t>实验中心新闻</w:t>
            </w:r>
            <w:r>
              <w:rPr>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1242"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1.1.4</w:t>
            </w:r>
          </w:p>
        </w:tc>
        <w:tc>
          <w:tcPr>
            <w:tcW w:w="2127"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通知公告</w:t>
            </w:r>
          </w:p>
        </w:tc>
        <w:tc>
          <w:tcPr>
            <w:tcW w:w="6379" w:type="dxa"/>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公布最新通知，包括实验室预约</w:t>
            </w:r>
            <w:r>
              <w:rPr>
                <w:color w:val="000000" w:themeColor="text1"/>
                <w14:textFill>
                  <w14:solidFill>
                    <w14:schemeClr w14:val="tx1"/>
                  </w14:solidFill>
                </w14:textFill>
              </w:rPr>
              <w:t>通知</w:t>
            </w:r>
            <w:r>
              <w:rPr>
                <w:rFonts w:hint="eastAsia"/>
                <w:color w:val="000000" w:themeColor="text1"/>
                <w14:textFill>
                  <w14:solidFill>
                    <w14:schemeClr w14:val="tx1"/>
                  </w14:solidFill>
                </w14:textFill>
              </w:rPr>
              <w:t>、实验设备预约通知、评教通知、实验教学通知、实验</w:t>
            </w:r>
            <w:r>
              <w:rPr>
                <w:color w:val="000000" w:themeColor="text1"/>
                <w14:textFill>
                  <w14:solidFill>
                    <w14:schemeClr w14:val="tx1"/>
                  </w14:solidFill>
                </w14:textFill>
              </w:rPr>
              <w:t>项目通知等。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1242"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1.1.5</w:t>
            </w:r>
          </w:p>
        </w:tc>
        <w:tc>
          <w:tcPr>
            <w:tcW w:w="2127"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系统入口</w:t>
            </w:r>
          </w:p>
        </w:tc>
        <w:tc>
          <w:tcPr>
            <w:tcW w:w="6379" w:type="dxa"/>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提供系统（如实验室管理系统、实验教学系统）快捷入口，登录系统后可进行相应的实验预约、实验课程查看等业务操作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1242"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1.1.6</w:t>
            </w:r>
          </w:p>
        </w:tc>
        <w:tc>
          <w:tcPr>
            <w:tcW w:w="2127"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常用链接</w:t>
            </w:r>
          </w:p>
        </w:tc>
        <w:tc>
          <w:tcPr>
            <w:tcW w:w="6379" w:type="dxa"/>
          </w:tcPr>
          <w:p>
            <w:pPr>
              <w:jc w:val="left"/>
              <w:rPr>
                <w:color w:val="000000" w:themeColor="text1"/>
                <w14:textFill>
                  <w14:solidFill>
                    <w14:schemeClr w14:val="tx1"/>
                  </w14:solidFill>
                </w14:textFill>
              </w:rPr>
            </w:pPr>
            <w:r>
              <w:rPr>
                <w:color w:val="000000" w:themeColor="text1"/>
                <w14:textFill>
                  <w14:solidFill>
                    <w14:schemeClr w14:val="tx1"/>
                  </w14:solidFill>
                </w14:textFill>
              </w:rPr>
              <w:t>可以直接链接到常用的其他系统或网站</w:t>
            </w:r>
            <w:r>
              <w:rPr>
                <w:rFonts w:hint="eastAsia"/>
                <w:color w:val="000000" w:themeColor="text1"/>
                <w14:textFill>
                  <w14:solidFill>
                    <w14:schemeClr w14:val="tx1"/>
                  </w14:solidFill>
                </w14:textFill>
              </w:rPr>
              <w:t>，如哈尔滨工业大学官网、深圳大学城图书馆、教务处等。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trPr>
        <w:tc>
          <w:tcPr>
            <w:tcW w:w="1242"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1.1.7</w:t>
            </w:r>
          </w:p>
        </w:tc>
        <w:tc>
          <w:tcPr>
            <w:tcW w:w="2127"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搜索栏</w:t>
            </w:r>
          </w:p>
        </w:tc>
        <w:tc>
          <w:tcPr>
            <w:tcW w:w="6379" w:type="dxa"/>
          </w:tcPr>
          <w:p>
            <w:pPr>
              <w:jc w:val="left"/>
              <w:rPr>
                <w:color w:val="000000" w:themeColor="text1"/>
                <w14:textFill>
                  <w14:solidFill>
                    <w14:schemeClr w14:val="tx1"/>
                  </w14:solidFill>
                </w14:textFill>
              </w:rPr>
            </w:pPr>
            <w:r>
              <w:rPr>
                <w:color w:val="000000" w:themeColor="text1"/>
                <w14:textFill>
                  <w14:solidFill>
                    <w14:schemeClr w14:val="tx1"/>
                  </w14:solidFill>
                </w14:textFill>
              </w:rPr>
              <w:t>提供对网站内容、关键字的</w:t>
            </w:r>
            <w:r>
              <w:rPr>
                <w:rFonts w:hint="eastAsia"/>
                <w:color w:val="000000" w:themeColor="text1"/>
                <w14:textFill>
                  <w14:solidFill>
                    <w14:schemeClr w14:val="tx1"/>
                  </w14:solidFill>
                </w14:textFill>
              </w:rPr>
              <w:t>全文</w:t>
            </w:r>
            <w:r>
              <w:rPr>
                <w:color w:val="000000" w:themeColor="text1"/>
                <w14:textFill>
                  <w14:solidFill>
                    <w14:schemeClr w14:val="tx1"/>
                  </w14:solidFill>
                </w14:textFill>
              </w:rPr>
              <w:t>搜索功能，方便进行相关信息查找。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trPr>
        <w:tc>
          <w:tcPr>
            <w:tcW w:w="1242"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1.1.8</w:t>
            </w:r>
          </w:p>
        </w:tc>
        <w:tc>
          <w:tcPr>
            <w:tcW w:w="2127"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调查问卷</w:t>
            </w:r>
          </w:p>
        </w:tc>
        <w:tc>
          <w:tcPr>
            <w:tcW w:w="6379" w:type="dxa"/>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有需求时可为师生提供调查问卷的快速入口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trPr>
        <w:tc>
          <w:tcPr>
            <w:tcW w:w="1242"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1.1.9</w:t>
            </w:r>
          </w:p>
        </w:tc>
        <w:tc>
          <w:tcPr>
            <w:tcW w:w="2127"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人才招聘</w:t>
            </w:r>
          </w:p>
        </w:tc>
        <w:tc>
          <w:tcPr>
            <w:tcW w:w="6379" w:type="dxa"/>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有需求时可提供招聘信息的链接入口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trPr>
        <w:tc>
          <w:tcPr>
            <w:tcW w:w="1242"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1.2</w:t>
            </w:r>
          </w:p>
        </w:tc>
        <w:tc>
          <w:tcPr>
            <w:tcW w:w="8506" w:type="dxa"/>
            <w:gridSpan w:val="2"/>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中心概况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4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1.2.1</w:t>
            </w:r>
          </w:p>
        </w:tc>
        <w:tc>
          <w:tcPr>
            <w:tcW w:w="2127"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中心简介</w:t>
            </w:r>
          </w:p>
        </w:tc>
        <w:tc>
          <w:tcPr>
            <w:tcW w:w="6379" w:type="dxa"/>
          </w:tcPr>
          <w:p>
            <w:pPr>
              <w:jc w:val="left"/>
              <w:rPr>
                <w:color w:val="000000" w:themeColor="text1"/>
                <w14:textFill>
                  <w14:solidFill>
                    <w14:schemeClr w14:val="tx1"/>
                  </w14:solidFill>
                </w14:textFill>
              </w:rPr>
            </w:pPr>
            <w:r>
              <w:rPr>
                <w:color w:val="000000" w:themeColor="text1"/>
                <w14:textFill>
                  <w14:solidFill>
                    <w14:schemeClr w14:val="tx1"/>
                  </w14:solidFill>
                </w14:textFill>
              </w:rPr>
              <w:t>对</w:t>
            </w:r>
            <w:r>
              <w:rPr>
                <w:rFonts w:hint="eastAsia"/>
                <w:color w:val="000000" w:themeColor="text1"/>
                <w14:textFill>
                  <w14:solidFill>
                    <w14:schemeClr w14:val="tx1"/>
                  </w14:solidFill>
                </w14:textFill>
              </w:rPr>
              <w:t>实验中心的特色、工作及其基本情况</w:t>
            </w:r>
            <w:r>
              <w:rPr>
                <w:color w:val="000000" w:themeColor="text1"/>
                <w14:textFill>
                  <w14:solidFill>
                    <w14:schemeClr w14:val="tx1"/>
                  </w14:solidFill>
                </w14:textFill>
              </w:rPr>
              <w:t>进行简要介绍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4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1.2.2</w:t>
            </w:r>
          </w:p>
        </w:tc>
        <w:tc>
          <w:tcPr>
            <w:tcW w:w="2127"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教学理念</w:t>
            </w:r>
          </w:p>
        </w:tc>
        <w:tc>
          <w:tcPr>
            <w:tcW w:w="6379" w:type="dxa"/>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对实验中心的教学理念进行简要介绍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4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1.2.3</w:t>
            </w:r>
          </w:p>
        </w:tc>
        <w:tc>
          <w:tcPr>
            <w:tcW w:w="2127"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发展规划</w:t>
            </w:r>
          </w:p>
        </w:tc>
        <w:tc>
          <w:tcPr>
            <w:tcW w:w="6379" w:type="dxa"/>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介绍实验中心的发展规划（如发展定位、建设目标等）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4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1.2.4</w:t>
            </w:r>
          </w:p>
        </w:tc>
        <w:tc>
          <w:tcPr>
            <w:tcW w:w="2127"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中心机构</w:t>
            </w:r>
          </w:p>
        </w:tc>
        <w:tc>
          <w:tcPr>
            <w:tcW w:w="6379" w:type="dxa"/>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要求与实验室管理系统数据联动，对实验中心下设的通识与基础实验室、技术基础实验室、专业实验室等进行简要介绍，展示各实验室的师资队伍、实验设备、实验项目、实验课程等信息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4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1.2.5</w:t>
            </w:r>
          </w:p>
        </w:tc>
        <w:tc>
          <w:tcPr>
            <w:tcW w:w="2127"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师资队伍</w:t>
            </w:r>
          </w:p>
        </w:tc>
        <w:tc>
          <w:tcPr>
            <w:tcW w:w="6379" w:type="dxa"/>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对实验中心的组织机构（如专家委员会、建设委员会、负责人、师资队伍）及</w:t>
            </w:r>
            <w:r>
              <w:rPr>
                <w:color w:val="000000" w:themeColor="text1"/>
                <w14:textFill>
                  <w14:solidFill>
                    <w14:schemeClr w14:val="tx1"/>
                  </w14:solidFill>
                </w14:textFill>
              </w:rPr>
              <w:t>相关人员</w:t>
            </w:r>
            <w:r>
              <w:rPr>
                <w:rFonts w:hint="eastAsia"/>
                <w:color w:val="000000" w:themeColor="text1"/>
                <w14:textFill>
                  <w14:solidFill>
                    <w14:schemeClr w14:val="tx1"/>
                  </w14:solidFill>
                </w14:textFill>
              </w:rPr>
              <w:t>基本信息进行简要介绍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42"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1.2.6</w:t>
            </w:r>
          </w:p>
        </w:tc>
        <w:tc>
          <w:tcPr>
            <w:tcW w:w="2127"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联系我们</w:t>
            </w:r>
          </w:p>
        </w:tc>
        <w:tc>
          <w:tcPr>
            <w:tcW w:w="6379" w:type="dxa"/>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展示实验中心的联系方式、联系人等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42"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1.3</w:t>
            </w:r>
          </w:p>
        </w:tc>
        <w:tc>
          <w:tcPr>
            <w:tcW w:w="8506" w:type="dxa"/>
            <w:gridSpan w:val="2"/>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实验教学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4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1.3.1</w:t>
            </w:r>
          </w:p>
        </w:tc>
        <w:tc>
          <w:tcPr>
            <w:tcW w:w="2127"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教学课程</w:t>
            </w:r>
          </w:p>
        </w:tc>
        <w:tc>
          <w:tcPr>
            <w:tcW w:w="6379" w:type="dxa"/>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对实验中心开设的全部课程进行简要介绍，展示课程的基本内容、授课教师信息、课程资源等，支持常用格式音视频文件的播放，要求与实验教学课程系统数据联动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42"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1.3.2</w:t>
            </w:r>
          </w:p>
        </w:tc>
        <w:tc>
          <w:tcPr>
            <w:tcW w:w="2127"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教学日历</w:t>
            </w:r>
          </w:p>
        </w:tc>
        <w:tc>
          <w:tcPr>
            <w:tcW w:w="6379" w:type="dxa"/>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要求与实验教学系统排课数据联动，可按课程名称、教师姓名进行检索，显示相应教学计划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42"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1.3.3</w:t>
            </w:r>
          </w:p>
        </w:tc>
        <w:tc>
          <w:tcPr>
            <w:tcW w:w="2127"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教学课表</w:t>
            </w:r>
          </w:p>
        </w:tc>
        <w:tc>
          <w:tcPr>
            <w:tcW w:w="6379" w:type="dxa"/>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要求与实验教学系统排课数据联动，可按日期、课程名称进行检索，显示相应课表。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42"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1.3.4</w:t>
            </w:r>
          </w:p>
        </w:tc>
        <w:tc>
          <w:tcPr>
            <w:tcW w:w="2127"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实验研究</w:t>
            </w:r>
          </w:p>
        </w:tc>
        <w:tc>
          <w:tcPr>
            <w:tcW w:w="6379" w:type="dxa"/>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展示实验研究成果，包括实验内容介绍，课程资源等。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42"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1.3.5</w:t>
            </w:r>
          </w:p>
        </w:tc>
        <w:tc>
          <w:tcPr>
            <w:tcW w:w="2127"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精品课程</w:t>
            </w:r>
          </w:p>
        </w:tc>
        <w:tc>
          <w:tcPr>
            <w:tcW w:w="6379" w:type="dxa"/>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展示全部精品课程的基本信息（课程介绍、授课教师信息、课程资源等），可按研究课程名称、教师姓名进行检索，要求与实验教学课程系统数据联动，支持常用格式音视频文件的播放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4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1.4</w:t>
            </w:r>
          </w:p>
        </w:tc>
        <w:tc>
          <w:tcPr>
            <w:tcW w:w="8506" w:type="dxa"/>
            <w:gridSpan w:val="2"/>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实验设备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4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1.4.1</w:t>
            </w:r>
          </w:p>
        </w:tc>
        <w:tc>
          <w:tcPr>
            <w:tcW w:w="2127"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设备介绍</w:t>
            </w:r>
          </w:p>
        </w:tc>
        <w:tc>
          <w:tcPr>
            <w:tcW w:w="6379" w:type="dxa"/>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要求与实验室管理系统数据联动，展示各实验室的设备基本信息（名称、型号、购入时间、所在位置、预约状态、操作方法及注意事项、收计费方式等）；与实验教学系统设备预约数据联动，实现线上预约申请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4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1.4.2</w:t>
            </w:r>
          </w:p>
        </w:tc>
        <w:tc>
          <w:tcPr>
            <w:tcW w:w="2127"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实验项目</w:t>
            </w:r>
          </w:p>
        </w:tc>
        <w:tc>
          <w:tcPr>
            <w:tcW w:w="6379" w:type="dxa"/>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要求与实验教学系统实验项目数据联动，展示各设备相关的实验项目基本信息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4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8506" w:type="dxa"/>
            <w:gridSpan w:val="2"/>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创新实践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4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1.5.1</w:t>
            </w:r>
          </w:p>
        </w:tc>
        <w:tc>
          <w:tcPr>
            <w:tcW w:w="2127"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通知公告</w:t>
            </w:r>
          </w:p>
        </w:tc>
        <w:tc>
          <w:tcPr>
            <w:tcW w:w="6379" w:type="dxa"/>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公布最新创新竞赛通知，包括竞赛、大创项目申报、获奖信息</w:t>
            </w:r>
            <w:r>
              <w:rPr>
                <w:color w:val="000000" w:themeColor="text1"/>
                <w14:textFill>
                  <w14:solidFill>
                    <w14:schemeClr w14:val="tx1"/>
                  </w14:solidFill>
                </w14:textFill>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4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1.5.2</w:t>
            </w:r>
          </w:p>
        </w:tc>
        <w:tc>
          <w:tcPr>
            <w:tcW w:w="2127"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竞赛专题</w:t>
            </w:r>
          </w:p>
        </w:tc>
        <w:tc>
          <w:tcPr>
            <w:tcW w:w="6379" w:type="dxa"/>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展示一些主要竞赛专题的内容，包括竞赛情况的介绍、往届相关信息、竞赛培训和相关活动情况等，可按大赛名称、参赛项目进行检索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4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1.5.3</w:t>
            </w:r>
          </w:p>
        </w:tc>
        <w:tc>
          <w:tcPr>
            <w:tcW w:w="2127"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创新项目</w:t>
            </w:r>
          </w:p>
        </w:tc>
        <w:tc>
          <w:tcPr>
            <w:tcW w:w="6379" w:type="dxa"/>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与实验教学系统大学生创新活动项目管理数据联动，展示各项目的基本信息（项目简介、项目团队、项目阶段等）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124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1.5.4</w:t>
            </w:r>
          </w:p>
        </w:tc>
        <w:tc>
          <w:tcPr>
            <w:tcW w:w="2127"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成果展示</w:t>
            </w:r>
          </w:p>
        </w:tc>
        <w:tc>
          <w:tcPr>
            <w:tcW w:w="6379" w:type="dxa"/>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成果展示可支持常用格式音视频文件的播放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124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1.6</w:t>
            </w:r>
          </w:p>
        </w:tc>
        <w:tc>
          <w:tcPr>
            <w:tcW w:w="8506" w:type="dxa"/>
            <w:gridSpan w:val="2"/>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示范辐射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124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1.6.1</w:t>
            </w:r>
          </w:p>
        </w:tc>
        <w:tc>
          <w:tcPr>
            <w:tcW w:w="2127"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对外培训</w:t>
            </w:r>
          </w:p>
        </w:tc>
        <w:tc>
          <w:tcPr>
            <w:tcW w:w="6379" w:type="dxa"/>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发布对外培训相关信息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124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1.6.2</w:t>
            </w:r>
          </w:p>
        </w:tc>
        <w:tc>
          <w:tcPr>
            <w:tcW w:w="2127"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国际国内合作</w:t>
            </w:r>
          </w:p>
        </w:tc>
        <w:tc>
          <w:tcPr>
            <w:tcW w:w="6379" w:type="dxa"/>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发布国际国内合作相关信息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124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1.6.3</w:t>
            </w:r>
          </w:p>
        </w:tc>
        <w:tc>
          <w:tcPr>
            <w:tcW w:w="2127"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在线咨询</w:t>
            </w:r>
          </w:p>
        </w:tc>
        <w:tc>
          <w:tcPr>
            <w:tcW w:w="6379" w:type="dxa"/>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为用户提供咨询交互的平台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4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1.7</w:t>
            </w:r>
          </w:p>
        </w:tc>
        <w:tc>
          <w:tcPr>
            <w:tcW w:w="2127"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规章制度</w:t>
            </w:r>
          </w:p>
        </w:tc>
        <w:tc>
          <w:tcPr>
            <w:tcW w:w="6379" w:type="dxa"/>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展示实验中心的管理规章制度，可提供下载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124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1.8</w:t>
            </w:r>
          </w:p>
        </w:tc>
        <w:tc>
          <w:tcPr>
            <w:tcW w:w="2127"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下载中心</w:t>
            </w:r>
          </w:p>
        </w:tc>
        <w:tc>
          <w:tcPr>
            <w:tcW w:w="6379" w:type="dxa"/>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提供各种资源（设备使用操作说明书、创新实践项目申请表等）以供下载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24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8506" w:type="dxa"/>
            <w:gridSpan w:val="2"/>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后台主要功能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124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2.1</w:t>
            </w:r>
          </w:p>
        </w:tc>
        <w:tc>
          <w:tcPr>
            <w:tcW w:w="2127"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权限管理</w:t>
            </w:r>
          </w:p>
        </w:tc>
        <w:tc>
          <w:tcPr>
            <w:tcW w:w="6379"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权限管理基于RBAC权限管理机制进行设计，结合网站管理的事务流程、设计不同类型的角色，并匹配给不同角色相应的操作权限，不同的用户</w:t>
            </w:r>
            <w:r>
              <w:rPr>
                <w:rFonts w:hint="eastAsia"/>
                <w:color w:val="000000" w:themeColor="text1"/>
                <w:lang w:eastAsia="zh-CN"/>
                <w14:textFill>
                  <w14:solidFill>
                    <w14:schemeClr w14:val="tx1"/>
                  </w14:solidFill>
                </w14:textFill>
              </w:rPr>
              <w:t>账号</w:t>
            </w:r>
            <w:r>
              <w:rPr>
                <w:rFonts w:hint="eastAsia"/>
                <w:color w:val="000000" w:themeColor="text1"/>
                <w14:textFill>
                  <w14:solidFill>
                    <w14:schemeClr w14:val="tx1"/>
                  </w14:solidFill>
                </w14:textFill>
              </w:rPr>
              <w:t>再匹配相应的角色，以达到不同的</w:t>
            </w:r>
            <w:r>
              <w:rPr>
                <w:rFonts w:hint="eastAsia"/>
                <w:color w:val="000000" w:themeColor="text1"/>
                <w:lang w:eastAsia="zh-CN"/>
                <w14:textFill>
                  <w14:solidFill>
                    <w14:schemeClr w14:val="tx1"/>
                  </w14:solidFill>
                </w14:textFill>
              </w:rPr>
              <w:t>账号</w:t>
            </w:r>
            <w:r>
              <w:rPr>
                <w:rFonts w:hint="eastAsia"/>
                <w:color w:val="000000" w:themeColor="text1"/>
                <w14:textFill>
                  <w14:solidFill>
                    <w14:schemeClr w14:val="tx1"/>
                  </w14:solidFill>
                </w14:textFill>
              </w:rPr>
              <w:t>登录系统后系统自动匹配相应的管理或操作权限的效果。</w:t>
            </w:r>
          </w:p>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权限管理包括角色创建、匹配角色操作权限；创建</w:t>
            </w:r>
            <w:r>
              <w:rPr>
                <w:rFonts w:hint="eastAsia"/>
                <w:color w:val="000000" w:themeColor="text1"/>
                <w:lang w:eastAsia="zh-CN"/>
                <w14:textFill>
                  <w14:solidFill>
                    <w14:schemeClr w14:val="tx1"/>
                  </w14:solidFill>
                </w14:textFill>
              </w:rPr>
              <w:t>账号</w:t>
            </w:r>
            <w:r>
              <w:rPr>
                <w:rFonts w:hint="eastAsia"/>
                <w:color w:val="000000" w:themeColor="text1"/>
                <w14:textFill>
                  <w14:solidFill>
                    <w14:schemeClr w14:val="tx1"/>
                  </w14:solidFill>
                </w14:textFill>
              </w:rPr>
              <w:t>、匹配</w:t>
            </w:r>
            <w:r>
              <w:rPr>
                <w:rFonts w:hint="eastAsia"/>
                <w:color w:val="000000" w:themeColor="text1"/>
                <w:lang w:eastAsia="zh-CN"/>
                <w14:textFill>
                  <w14:solidFill>
                    <w14:schemeClr w14:val="tx1"/>
                  </w14:solidFill>
                </w14:textFill>
              </w:rPr>
              <w:t>账号</w:t>
            </w:r>
            <w:r>
              <w:rPr>
                <w:rFonts w:hint="eastAsia"/>
                <w:color w:val="000000" w:themeColor="text1"/>
                <w14:textFill>
                  <w14:solidFill>
                    <w14:schemeClr w14:val="tx1"/>
                  </w14:solidFill>
                </w14:textFill>
              </w:rPr>
              <w:t>权限；</w:t>
            </w:r>
            <w:r>
              <w:rPr>
                <w:rFonts w:hint="eastAsia"/>
                <w:color w:val="000000" w:themeColor="text1"/>
                <w:lang w:eastAsia="zh-CN"/>
                <w14:textFill>
                  <w14:solidFill>
                    <w14:schemeClr w14:val="tx1"/>
                  </w14:solidFill>
                </w14:textFill>
              </w:rPr>
              <w:t>账号</w:t>
            </w:r>
            <w:r>
              <w:rPr>
                <w:rFonts w:hint="eastAsia"/>
                <w:color w:val="000000" w:themeColor="text1"/>
                <w14:textFill>
                  <w14:solidFill>
                    <w14:schemeClr w14:val="tx1"/>
                  </w14:solidFill>
                </w14:textFill>
              </w:rPr>
              <w:t>冻结、</w:t>
            </w:r>
            <w:r>
              <w:rPr>
                <w:rFonts w:hint="eastAsia"/>
                <w:color w:val="000000" w:themeColor="text1"/>
                <w:lang w:eastAsia="zh-CN"/>
                <w14:textFill>
                  <w14:solidFill>
                    <w14:schemeClr w14:val="tx1"/>
                  </w14:solidFill>
                </w14:textFill>
              </w:rPr>
              <w:t>账号</w:t>
            </w:r>
            <w:r>
              <w:rPr>
                <w:rFonts w:hint="eastAsia"/>
                <w:color w:val="000000" w:themeColor="text1"/>
                <w14:textFill>
                  <w14:solidFill>
                    <w14:schemeClr w14:val="tx1"/>
                  </w14:solidFill>
                </w14:textFill>
              </w:rPr>
              <w:t>激活、</w:t>
            </w:r>
            <w:r>
              <w:rPr>
                <w:rFonts w:hint="eastAsia"/>
                <w:color w:val="000000" w:themeColor="text1"/>
                <w:lang w:eastAsia="zh-CN"/>
                <w14:textFill>
                  <w14:solidFill>
                    <w14:schemeClr w14:val="tx1"/>
                  </w14:solidFill>
                </w14:textFill>
              </w:rPr>
              <w:t>账号</w:t>
            </w:r>
            <w:r>
              <w:rPr>
                <w:rFonts w:hint="eastAsia"/>
                <w:color w:val="000000" w:themeColor="text1"/>
                <w14:textFill>
                  <w14:solidFill>
                    <w14:schemeClr w14:val="tx1"/>
                  </w14:solidFill>
                </w14:textFill>
              </w:rPr>
              <w:t>密码重置等。</w:t>
            </w:r>
          </w:p>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#2页面显示权限</w:t>
            </w:r>
          </w:p>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通过识别IP网段，区分是否是校内IP访问，实现信息展示的“内外有别”。</w:t>
            </w:r>
          </w:p>
          <w:p>
            <w:pPr>
              <w:jc w:val="left"/>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3页面编辑权限</w:t>
            </w:r>
          </w:p>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可为角色及用户分配网站首页、新闻及通知概览页面、新闻及通知详细页面的编辑权限，此权限包括对页面头部、尾部图片合入文字的编辑，包括对页面主体内容中栏目的文字及图片的编辑。</w:t>
            </w:r>
          </w:p>
          <w:p>
            <w:pPr>
              <w:jc w:val="left"/>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4栏目管理权限</w:t>
            </w:r>
          </w:p>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可将不同栏目的管理权限分配给不同的用户和角色，拥有该权限的用户可对相应的栏目的内容及显示形式进行编辑和发布。</w:t>
            </w:r>
          </w:p>
          <w:p>
            <w:pPr>
              <w:jc w:val="left"/>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5文章发布权限</w:t>
            </w:r>
          </w:p>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可为某些角色及用户分配某些栏目的文章的编辑权限与发布权限。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124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2.2</w:t>
            </w:r>
          </w:p>
        </w:tc>
        <w:tc>
          <w:tcPr>
            <w:tcW w:w="2127"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通知、信息更新和发布</w:t>
            </w:r>
          </w:p>
        </w:tc>
        <w:tc>
          <w:tcPr>
            <w:tcW w:w="6379" w:type="dxa"/>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用户凭用户名和密码登录后台系统后，选择要更新信息的模块和子模块，编辑信息或从实验室管理系统中提取数据并提交；用户可根据需要将所发布的信息设置为置顶；提交信息后，用户可预览相关信息，并可返回对已提交的信息进行修改，确定修改无误后，点击“发布”，相关信息更新才会在前台呈现。发布的信息在前台显示按日期的顺序逆序排序，即总是显示最新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124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2.3</w:t>
            </w:r>
          </w:p>
        </w:tc>
        <w:tc>
          <w:tcPr>
            <w:tcW w:w="2127"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首页管理</w:t>
            </w:r>
          </w:p>
        </w:tc>
        <w:tc>
          <w:tcPr>
            <w:tcW w:w="6379" w:type="dxa"/>
            <w:vAlign w:val="center"/>
          </w:tcPr>
          <w:p>
            <w:pPr>
              <w:jc w:val="left"/>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首页内容管理：</w:t>
            </w:r>
          </w:p>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在后台需要模拟首页视图结构，并对首页的访问热点进行标识和统计，让首页访问热点一目了然。可以按不同的时间周期查看。</w:t>
            </w:r>
          </w:p>
          <w:p>
            <w:pPr>
              <w:jc w:val="left"/>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首页访问热点：</w:t>
            </w:r>
          </w:p>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首页内容要求可以独立编辑更新，对于动态生成的内容也需要可以进行单独编辑。编辑后有预览和发布功能。</w:t>
            </w:r>
          </w:p>
          <w:p>
            <w:pPr>
              <w:jc w:val="left"/>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3 轮播图管理：</w:t>
            </w:r>
          </w:p>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首页轮播图可管理，可以上传图片、规定图片张数、顺序、更换时间。</w:t>
            </w:r>
          </w:p>
          <w:p>
            <w:pPr>
              <w:jc w:val="left"/>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4 首页内容编辑：</w:t>
            </w:r>
          </w:p>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对于首页的页面头部，页面中部内容以及页面尾部提供编辑功能。网站管理者能通过网站管理后台对以上三部分进行编辑。可改变其显示内容，并能够预览与发布。</w:t>
            </w:r>
          </w:p>
          <w:p>
            <w:pPr>
              <w:jc w:val="left"/>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5 首页主体部分栏目编辑：</w:t>
            </w:r>
          </w:p>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对于首页主体部分的栏目提供编辑功能。网站管理者可以通过网站管理后台对主页的所有栏目进行编辑，调整各个栏目在主页中的显示顺序，并可更改各个栏目的名称、显示方式（如某一新闻或通知栏目为文字列表形式还是图片列表形式等）、栏目图片，并能够预览与发布。</w:t>
            </w:r>
          </w:p>
          <w:p>
            <w:pPr>
              <w:jc w:val="left"/>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6 首页外部链接的编辑：</w:t>
            </w:r>
          </w:p>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对于首页的某些外部链接（如常用链接）提供编辑修改功能，网站管理者可以通过网站管理后台对外部链接进行修改和编辑，可更换外部链接在主页上的名称及图片，也可更换主页上外部链接名称对应的访问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124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2.4</w:t>
            </w:r>
          </w:p>
        </w:tc>
        <w:tc>
          <w:tcPr>
            <w:tcW w:w="2127"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栏目管理</w:t>
            </w:r>
          </w:p>
        </w:tc>
        <w:tc>
          <w:tcPr>
            <w:tcW w:w="6379" w:type="dxa"/>
            <w:vAlign w:val="center"/>
          </w:tcPr>
          <w:p>
            <w:pPr>
              <w:jc w:val="left"/>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1 栏目设置：</w:t>
            </w:r>
          </w:p>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门户网站栏目管理的设定通过栏目管理可以很清晰的显示出来，栏目的层次无限定，可以无限制的设计各栏目下的子栏目，为网站的规划提供了一个无限延伸的平台。</w:t>
            </w:r>
          </w:p>
          <w:p>
            <w:pPr>
              <w:jc w:val="left"/>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2 栏目管理：</w:t>
            </w:r>
          </w:p>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对栏目管理采用树状结构管理。栏目的数量、栏目下的子栏目的数量即栏目的广度没有限制。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124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2.5</w:t>
            </w:r>
          </w:p>
        </w:tc>
        <w:tc>
          <w:tcPr>
            <w:tcW w:w="2127"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资源管理</w:t>
            </w:r>
          </w:p>
        </w:tc>
        <w:tc>
          <w:tcPr>
            <w:tcW w:w="6379" w:type="dxa"/>
            <w:vAlign w:val="center"/>
          </w:tcPr>
          <w:p>
            <w:pPr>
              <w:jc w:val="left"/>
              <w:rPr>
                <w:color w:val="000000" w:themeColor="text1"/>
                <w14:textFill>
                  <w14:solidFill>
                    <w14:schemeClr w14:val="tx1"/>
                  </w14:solidFill>
                </w14:textFill>
              </w:rPr>
            </w:pPr>
            <w:r>
              <w:rPr>
                <w:color w:val="000000" w:themeColor="text1"/>
                <w14:textFill>
                  <w14:solidFill>
                    <w14:schemeClr w14:val="tx1"/>
                  </w14:solidFill>
                </w14:textFill>
              </w:rPr>
              <w:t># 1</w:t>
            </w:r>
          </w:p>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新上传资源查看</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发布</w:t>
            </w:r>
          </w:p>
          <w:p>
            <w:pPr>
              <w:jc w:val="left"/>
              <w:rPr>
                <w:color w:val="000000" w:themeColor="text1"/>
                <w14:textFill>
                  <w14:solidFill>
                    <w14:schemeClr w14:val="tx1"/>
                  </w14:solidFill>
                </w14:textFill>
              </w:rPr>
            </w:pPr>
            <w:r>
              <w:rPr>
                <w:color w:val="000000" w:themeColor="text1"/>
                <w14:textFill>
                  <w14:solidFill>
                    <w14:schemeClr w14:val="tx1"/>
                  </w14:solidFill>
                </w14:textFill>
              </w:rPr>
              <w:t># 2</w:t>
            </w:r>
          </w:p>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创建</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编辑</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预览</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审核</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发布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取消发布资源内容</w:t>
            </w:r>
          </w:p>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支持图片和文字录入，可支持word、excel、PDF、JPG、PNG等常见的文件格式上传</w:t>
            </w:r>
          </w:p>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支持常用音视频格式文件上传</w:t>
            </w:r>
          </w:p>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支持列表排序设置</w:t>
            </w:r>
          </w:p>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统计浏览次数及走势</w:t>
            </w:r>
          </w:p>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资源搜索</w:t>
            </w:r>
          </w:p>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资源查看</w:t>
            </w:r>
          </w:p>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停止发布资源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124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2.6</w:t>
            </w:r>
          </w:p>
        </w:tc>
        <w:tc>
          <w:tcPr>
            <w:tcW w:w="2127"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数据统计分析</w:t>
            </w:r>
          </w:p>
        </w:tc>
        <w:tc>
          <w:tcPr>
            <w:tcW w:w="6379" w:type="dxa"/>
            <w:vAlign w:val="center"/>
          </w:tcPr>
          <w:p>
            <w:pPr>
              <w:jc w:val="left"/>
              <w:rPr>
                <w:color w:val="000000" w:themeColor="text1"/>
                <w14:textFill>
                  <w14:solidFill>
                    <w14:schemeClr w14:val="tx1"/>
                  </w14:solidFill>
                </w14:textFill>
              </w:rPr>
            </w:pPr>
            <w:r>
              <w:rPr>
                <w:color w:val="000000" w:themeColor="text1"/>
                <w14:textFill>
                  <w14:solidFill>
                    <w14:schemeClr w14:val="tx1"/>
                  </w14:solidFill>
                </w14:textFill>
              </w:rPr>
              <w:t xml:space="preserve">#1 </w:t>
            </w:r>
            <w:r>
              <w:rPr>
                <w:rFonts w:hint="eastAsia"/>
                <w:color w:val="000000" w:themeColor="text1"/>
                <w14:textFill>
                  <w14:solidFill>
                    <w14:schemeClr w14:val="tx1"/>
                  </w14:solidFill>
                </w14:textFill>
              </w:rPr>
              <w:t>用户兴趣统计：</w:t>
            </w:r>
          </w:p>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采用雷达图、饼形图、频数分布直方图、折线统计图等方式显示</w:t>
            </w:r>
          </w:p>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向单位用户展示网站用户浏览自己发布资源的浏览情况。</w:t>
            </w:r>
          </w:p>
          <w:p>
            <w:pPr>
              <w:jc w:val="left"/>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2流量统计及访问统计：</w:t>
            </w:r>
          </w:p>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按时间段统计网站流量（IP/PV）</w:t>
            </w:r>
          </w:p>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访问统计（图表）</w:t>
            </w:r>
          </w:p>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按时间段统计各个页面的用户访问量</w:t>
            </w:r>
          </w:p>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流量来源排行</w:t>
            </w:r>
          </w:p>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统计结果均可采用饼形图、频数分布直方图、折线统计图等方式显示</w:t>
            </w:r>
          </w:p>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分析结果可导出报表供打印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124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2.7</w:t>
            </w:r>
          </w:p>
        </w:tc>
        <w:tc>
          <w:tcPr>
            <w:tcW w:w="2127"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系统管理操作记录与网站系统参数设置</w:t>
            </w:r>
          </w:p>
        </w:tc>
        <w:tc>
          <w:tcPr>
            <w:tcW w:w="6379"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提供对系统操作的记录</w:t>
            </w:r>
          </w:p>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对网站系统各类基础参数设置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124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2.8</w:t>
            </w:r>
          </w:p>
        </w:tc>
        <w:tc>
          <w:tcPr>
            <w:tcW w:w="2127"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网页防篡改</w:t>
            </w:r>
          </w:p>
        </w:tc>
        <w:tc>
          <w:tcPr>
            <w:tcW w:w="6379"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网站要有网页防篡改的功能，防备黑客攻击。在网页被篡改后系统具备即时自动恢复网页功能。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124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8506" w:type="dxa"/>
            <w:gridSpan w:val="2"/>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可视化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124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3.1</w:t>
            </w:r>
          </w:p>
        </w:tc>
        <w:tc>
          <w:tcPr>
            <w:tcW w:w="2127"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地图展示</w:t>
            </w:r>
          </w:p>
        </w:tc>
        <w:tc>
          <w:tcPr>
            <w:tcW w:w="6379" w:type="dxa"/>
          </w:tcPr>
          <w:p>
            <w:pPr>
              <w:autoSpaceDE w:val="0"/>
              <w:autoSpaceDN w:val="0"/>
              <w:adjustRightInd w:val="0"/>
              <w:snapToGrid w:val="0"/>
              <w:spacing w:after="16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可视化展示专业实验室所在位置；各实验室（区域）明细指标的可视化展示。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124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3.2</w:t>
            </w:r>
          </w:p>
        </w:tc>
        <w:tc>
          <w:tcPr>
            <w:tcW w:w="2127"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专业展示</w:t>
            </w:r>
          </w:p>
        </w:tc>
        <w:tc>
          <w:tcPr>
            <w:tcW w:w="6379" w:type="dxa"/>
          </w:tcPr>
          <w:p>
            <w:pPr>
              <w:autoSpaceDE w:val="0"/>
              <w:autoSpaceDN w:val="0"/>
              <w:adjustRightInd w:val="0"/>
              <w:snapToGrid w:val="0"/>
              <w:spacing w:after="16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以知识、技能结合现场设备与部署位置的方式展示知识点，可以连接实验室管理系统获取资源并展示。展示各项相关的微课、视频、图片等知识与技能在线学习内容，并且可以生成二维码，支持移动学习。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124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3.3</w:t>
            </w:r>
          </w:p>
        </w:tc>
        <w:tc>
          <w:tcPr>
            <w:tcW w:w="2127"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资源集成</w:t>
            </w:r>
          </w:p>
        </w:tc>
        <w:tc>
          <w:tcPr>
            <w:tcW w:w="6379" w:type="dxa"/>
          </w:tcPr>
          <w:p>
            <w:pPr>
              <w:autoSpaceDE w:val="0"/>
              <w:autoSpaceDN w:val="0"/>
              <w:adjustRightInd w:val="0"/>
              <w:snapToGrid w:val="0"/>
              <w:spacing w:after="16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通过标识点的添加和编辑，实现对设备资源及物联硬件的可视化定点展示，实时查看监控画面、门禁记录等相关数据，确保系统的实时性和可扩展性，并可以生成二维码实现线上线下一体化服务。可视化系统可对接多种设备，在电子班牌、拼接屏等设备上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124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8506" w:type="dxa"/>
            <w:gridSpan w:val="2"/>
            <w:vAlign w:val="center"/>
          </w:tcPr>
          <w:p>
            <w:pPr>
              <w:autoSpaceDE w:val="0"/>
              <w:autoSpaceDN w:val="0"/>
              <w:adjustRightInd w:val="0"/>
              <w:snapToGrid w:val="0"/>
              <w:spacing w:after="16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124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4.1</w:t>
            </w:r>
          </w:p>
        </w:tc>
        <w:tc>
          <w:tcPr>
            <w:tcW w:w="2127"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硬件平台</w:t>
            </w:r>
          </w:p>
        </w:tc>
        <w:tc>
          <w:tcPr>
            <w:tcW w:w="6379" w:type="dxa"/>
            <w:vAlign w:val="center"/>
          </w:tcPr>
          <w:p>
            <w:pPr>
              <w:numPr>
                <w:ilvl w:val="255"/>
                <w:numId w:val="0"/>
              </w:num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系统应采用目前主流的服务器端操作系统（如Linux/windows）。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124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4.2</w:t>
            </w:r>
          </w:p>
        </w:tc>
        <w:tc>
          <w:tcPr>
            <w:tcW w:w="2127"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数据库平台</w:t>
            </w:r>
          </w:p>
        </w:tc>
        <w:tc>
          <w:tcPr>
            <w:tcW w:w="6379" w:type="dxa"/>
            <w:vAlign w:val="center"/>
          </w:tcPr>
          <w:p>
            <w:pPr>
              <w:numPr>
                <w:ilvl w:val="255"/>
                <w:numId w:val="0"/>
              </w:num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系统后台应采用大型关系型数据库。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 w:hRule="atLeast"/>
        </w:trPr>
        <w:tc>
          <w:tcPr>
            <w:tcW w:w="124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4.3</w:t>
            </w:r>
          </w:p>
        </w:tc>
        <w:tc>
          <w:tcPr>
            <w:tcW w:w="2127"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开发工具平台</w:t>
            </w:r>
          </w:p>
        </w:tc>
        <w:tc>
          <w:tcPr>
            <w:tcW w:w="6379" w:type="dxa"/>
            <w:vAlign w:val="center"/>
          </w:tcPr>
          <w:p>
            <w:pPr>
              <w:numPr>
                <w:ilvl w:val="255"/>
                <w:numId w:val="0"/>
              </w:num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采用开放式平台，力求简单实用；如使用第三方工具，必须免费提供使用权限。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 w:hRule="atLeast"/>
        </w:trPr>
        <w:tc>
          <w:tcPr>
            <w:tcW w:w="124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4.4</w:t>
            </w:r>
          </w:p>
        </w:tc>
        <w:tc>
          <w:tcPr>
            <w:tcW w:w="2127"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应用基础平台</w:t>
            </w:r>
          </w:p>
        </w:tc>
        <w:tc>
          <w:tcPr>
            <w:tcW w:w="6379"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所开发系统必须能够与目前学校的应用基础平台（</w:t>
            </w:r>
            <w:r>
              <w:rPr>
                <w:color w:val="000000" w:themeColor="text1"/>
                <w14:textFill>
                  <w14:solidFill>
                    <w14:schemeClr w14:val="tx1"/>
                  </w14:solidFill>
                </w14:textFill>
              </w:rPr>
              <w:t>用户</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资产</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课程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选课组</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校区</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建筑物</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学生</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一卡通等信息</w:t>
            </w:r>
            <w:r>
              <w:rPr>
                <w:rFonts w:hint="eastAsia"/>
                <w:color w:val="000000" w:themeColor="text1"/>
                <w14:textFill>
                  <w14:solidFill>
                    <w14:schemeClr w14:val="tx1"/>
                  </w14:solidFill>
                </w14:textFill>
              </w:rPr>
              <w:t>）的数据进行整合，</w:t>
            </w:r>
            <w:r>
              <w:rPr>
                <w:color w:val="000000" w:themeColor="text1"/>
                <w14:textFill>
                  <w14:solidFill>
                    <w14:schemeClr w14:val="tx1"/>
                  </w14:solidFill>
                </w14:textFill>
              </w:rPr>
              <w:t>提供数据清洗</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数据导入或者同其他系统进行对接的功能</w:t>
            </w:r>
            <w:r>
              <w:rPr>
                <w:rFonts w:hint="eastAsia"/>
                <w:color w:val="000000" w:themeColor="text1"/>
                <w14:textFill>
                  <w14:solidFill>
                    <w14:schemeClr w14:val="tx1"/>
                  </w14:solidFill>
                </w14:textFill>
              </w:rPr>
              <w:t>。</w:t>
            </w:r>
          </w:p>
          <w:p>
            <w:pPr>
              <w:jc w:val="left"/>
              <w:rPr>
                <w:color w:val="000000" w:themeColor="text1"/>
                <w14:textFill>
                  <w14:solidFill>
                    <w14:schemeClr w14:val="tx1"/>
                  </w14:solidFill>
                </w14:textFill>
              </w:rPr>
            </w:pPr>
            <w:r>
              <w:rPr>
                <w:color w:val="000000" w:themeColor="text1"/>
                <w14:textFill>
                  <w14:solidFill>
                    <w14:schemeClr w14:val="tx1"/>
                  </w14:solidFill>
                </w14:textFill>
              </w:rPr>
              <w:t>MVC设计模式：用户界面，特别是图形用户界面，承担着向用户显示问题模型和与用户进行操作和I/O交互的作用。用户希望保持交互操作界面的相对稳定，但更希望根据需要改变和调整显示的内容和形式。整体设计应采用交互界面的结构组织模型：模型-视图-控制（MVC：Model-View-Controller）。</w:t>
            </w:r>
          </w:p>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开发语言：</w:t>
            </w:r>
            <w:r>
              <w:rPr>
                <w:color w:val="000000" w:themeColor="text1"/>
                <w14:textFill>
                  <w14:solidFill>
                    <w14:schemeClr w14:val="tx1"/>
                  </w14:solidFill>
                </w14:textFill>
              </w:rPr>
              <w:t>系统</w:t>
            </w:r>
            <w:r>
              <w:rPr>
                <w:rFonts w:hint="eastAsia"/>
                <w:color w:val="000000" w:themeColor="text1"/>
                <w14:textFill>
                  <w14:solidFill>
                    <w14:schemeClr w14:val="tx1"/>
                  </w14:solidFill>
                </w14:textFill>
              </w:rPr>
              <w:t>应</w:t>
            </w:r>
            <w:r>
              <w:rPr>
                <w:color w:val="000000" w:themeColor="text1"/>
                <w14:textFill>
                  <w14:solidFill>
                    <w14:schemeClr w14:val="tx1"/>
                  </w14:solidFill>
                </w14:textFill>
              </w:rPr>
              <w:t>采用</w:t>
            </w:r>
            <w:r>
              <w:rPr>
                <w:rFonts w:hint="eastAsia"/>
                <w:color w:val="000000" w:themeColor="text1"/>
                <w14:textFill>
                  <w14:solidFill>
                    <w14:schemeClr w14:val="tx1"/>
                  </w14:solidFill>
                </w14:textFill>
              </w:rPr>
              <w:t>跨平台的开发语言，如JAVA等，并采用</w:t>
            </w:r>
            <w:r>
              <w:rPr>
                <w:color w:val="000000" w:themeColor="text1"/>
                <w14:textFill>
                  <w14:solidFill>
                    <w14:schemeClr w14:val="tx1"/>
                  </w14:solidFill>
                </w14:textFill>
              </w:rPr>
              <w:t>多层分布式应用模型、企业级应用系统开发平台、电子化应用开发模型、Web应用服务器上广泛采用的标准。</w:t>
            </w:r>
          </w:p>
          <w:p>
            <w:pPr>
              <w:jc w:val="left"/>
              <w:rPr>
                <w:color w:val="000000" w:themeColor="text1"/>
                <w14:textFill>
                  <w14:solidFill>
                    <w14:schemeClr w14:val="tx1"/>
                  </w14:solidFill>
                </w14:textFill>
              </w:rPr>
            </w:pPr>
            <w:r>
              <w:rPr>
                <w:color w:val="000000" w:themeColor="text1"/>
                <w14:textFill>
                  <w14:solidFill>
                    <w14:schemeClr w14:val="tx1"/>
                  </w14:solidFill>
                </w14:textFill>
              </w:rPr>
              <w:t>展示</w:t>
            </w:r>
            <w:r>
              <w:rPr>
                <w:rFonts w:hint="eastAsia"/>
                <w:color w:val="000000" w:themeColor="text1"/>
                <w14:textFill>
                  <w14:solidFill>
                    <w14:schemeClr w14:val="tx1"/>
                  </w14:solidFill>
                </w14:textFill>
              </w:rPr>
              <w:t>前端</w:t>
            </w:r>
            <w:r>
              <w:rPr>
                <w:color w:val="000000" w:themeColor="text1"/>
                <w14:textFill>
                  <w14:solidFill>
                    <w14:schemeClr w14:val="tx1"/>
                  </w14:solidFill>
                </w14:textFill>
              </w:rPr>
              <w:t>：系统展示采用JavaScript库，轻量级的js库(</w:t>
            </w:r>
            <w:r>
              <w:rPr>
                <w:rFonts w:hint="eastAsia"/>
                <w:color w:val="000000" w:themeColor="text1"/>
                <w14:textFill>
                  <w14:solidFill>
                    <w14:schemeClr w14:val="tx1"/>
                  </w14:solidFill>
                </w14:textFill>
              </w:rPr>
              <w:t>如</w:t>
            </w:r>
            <w:r>
              <w:rPr>
                <w:color w:val="000000" w:themeColor="text1"/>
                <w14:textFill>
                  <w14:solidFill>
                    <w14:schemeClr w14:val="tx1"/>
                  </w14:solidFill>
                </w14:textFill>
              </w:rPr>
              <w:t>jQuery)，应兼容CSS3，还兼容各种浏览器（IE6.0+,FF1.5+,Safari2.0+,Opera9.0+）。</w:t>
            </w:r>
          </w:p>
          <w:p>
            <w:pPr>
              <w:jc w:val="left"/>
              <w:rPr>
                <w:color w:val="000000" w:themeColor="text1"/>
                <w14:textFill>
                  <w14:solidFill>
                    <w14:schemeClr w14:val="tx1"/>
                  </w14:solidFill>
                </w14:textFill>
              </w:rPr>
            </w:pPr>
            <w:r>
              <w:rPr>
                <w:color w:val="000000" w:themeColor="text1"/>
                <w14:textFill>
                  <w14:solidFill>
                    <w14:schemeClr w14:val="tx1"/>
                  </w14:solidFill>
                </w14:textFill>
              </w:rPr>
              <w:t>AJAX技术：系统设计采用创建交互式网页应用的网页开发技术。</w:t>
            </w:r>
          </w:p>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系统采用B/S架构，支持ipad及手机终端进行相应业务操作；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 w:hRule="atLeast"/>
        </w:trPr>
        <w:tc>
          <w:tcPr>
            <w:tcW w:w="124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4.5</w:t>
            </w:r>
          </w:p>
        </w:tc>
        <w:tc>
          <w:tcPr>
            <w:tcW w:w="2127"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代码开放</w:t>
            </w:r>
          </w:p>
        </w:tc>
        <w:tc>
          <w:tcPr>
            <w:tcW w:w="6379"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为我校定制开发部分的源代码、接口部分的源代码必须开放，以便校方掌握核心、并能与第三方对接，同时校方保证不作他用。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 w:hRule="atLeast"/>
        </w:trPr>
        <w:tc>
          <w:tcPr>
            <w:tcW w:w="124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4.6</w:t>
            </w:r>
          </w:p>
        </w:tc>
        <w:tc>
          <w:tcPr>
            <w:tcW w:w="2127"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兼容性</w:t>
            </w:r>
          </w:p>
        </w:tc>
        <w:tc>
          <w:tcPr>
            <w:tcW w:w="6379"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确保系统与操作系统和浏览器的兼容性（如支持IOS、Android或Windows等主流移动系统终端自适应展现；支持主流浏览器，包括但不限于Firefox、Chrome、IE11等内核的浏览器），尽量不使用第三方插件，若必须使用插件，应确保其与浏览器的兼容性。支持智能手机以及Pad访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 w:hRule="atLeast"/>
        </w:trPr>
        <w:tc>
          <w:tcPr>
            <w:tcW w:w="124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4.7</w:t>
            </w:r>
          </w:p>
        </w:tc>
        <w:tc>
          <w:tcPr>
            <w:tcW w:w="2127"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接口及二次开发</w:t>
            </w:r>
          </w:p>
        </w:tc>
        <w:tc>
          <w:tcPr>
            <w:tcW w:w="6379"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具有完善的二次开发接口和API，支持与业务平台的集成和整合。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 w:hRule="atLeast"/>
        </w:trPr>
        <w:tc>
          <w:tcPr>
            <w:tcW w:w="124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4.8</w:t>
            </w:r>
          </w:p>
        </w:tc>
        <w:tc>
          <w:tcPr>
            <w:tcW w:w="2127"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界面样式</w:t>
            </w:r>
          </w:p>
        </w:tc>
        <w:tc>
          <w:tcPr>
            <w:tcW w:w="6379"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按照需求定制设计，符合学校及实验中心的特点和特色要求；系统界面设计友好，便于使用。页面色彩搭配谐调，尽量避免刺激性较强的色彩分散浏览者注意；屏幕设计简洁美观，文本、图形等可视元素搭配协调得当，不易产生视觉疲劳；首页中的文字、图形等对象的大小合适，颜色对比适当，清晰易辨；在格式、风格、语言上具有内在一致性，避免造成不必要的分心或认知负担；每页呈现的信息量不超过大众的认知负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 w:hRule="atLeast"/>
        </w:trPr>
        <w:tc>
          <w:tcPr>
            <w:tcW w:w="124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4.9</w:t>
            </w:r>
          </w:p>
        </w:tc>
        <w:tc>
          <w:tcPr>
            <w:tcW w:w="2127"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数据导入</w:t>
            </w:r>
          </w:p>
        </w:tc>
        <w:tc>
          <w:tcPr>
            <w:tcW w:w="6379"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数据可由实验室管理系统导入，获取实验室管理系统中的相关数据并自动推送到网站相关页面。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 w:hRule="atLeast"/>
        </w:trPr>
        <w:tc>
          <w:tcPr>
            <w:tcW w:w="124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8506" w:type="dxa"/>
            <w:gridSpan w:val="2"/>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数据库资源接收、整理、录入、校对、采编制作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 w:hRule="atLeast"/>
        </w:trPr>
        <w:tc>
          <w:tcPr>
            <w:tcW w:w="124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5.1</w:t>
            </w:r>
          </w:p>
        </w:tc>
        <w:tc>
          <w:tcPr>
            <w:tcW w:w="2127"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数据库内容收集</w:t>
            </w:r>
          </w:p>
        </w:tc>
        <w:tc>
          <w:tcPr>
            <w:tcW w:w="6379"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本数据库的资源来源包括前期的初始导入和后期的多方共建形成，多方共建通过参与单位直接导入或者通过接口推送导入，前期初始部分则需要本项目承建单位通过与相关资源提供单位进行协调、接收、整理、录入和校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 w:hRule="atLeast"/>
        </w:trPr>
        <w:tc>
          <w:tcPr>
            <w:tcW w:w="124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5.2</w:t>
            </w:r>
          </w:p>
        </w:tc>
        <w:tc>
          <w:tcPr>
            <w:tcW w:w="2127"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数据库内容采编制作</w:t>
            </w:r>
          </w:p>
        </w:tc>
        <w:tc>
          <w:tcPr>
            <w:tcW w:w="6379"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对收集到的图片进行采集和处理（剪辑和压缩等），使得上述资料适合网站数据库存储，最终将多媒体数据导入网站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 w:hRule="atLeast"/>
        </w:trPr>
        <w:tc>
          <w:tcPr>
            <w:tcW w:w="124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8506" w:type="dxa"/>
            <w:gridSpan w:val="2"/>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 w:hRule="atLeast"/>
        </w:trPr>
        <w:tc>
          <w:tcPr>
            <w:tcW w:w="124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6.1</w:t>
            </w:r>
          </w:p>
        </w:tc>
        <w:tc>
          <w:tcPr>
            <w:tcW w:w="2127"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服务器需求</w:t>
            </w:r>
          </w:p>
        </w:tc>
        <w:tc>
          <w:tcPr>
            <w:tcW w:w="6379"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服务器由招标方提供，为</w:t>
            </w:r>
            <w:r>
              <w:rPr>
                <w:color w:val="000000" w:themeColor="text1"/>
                <w14:textFill>
                  <w14:solidFill>
                    <w14:schemeClr w14:val="tx1"/>
                  </w14:solidFill>
                </w14:textFill>
              </w:rPr>
              <w:t xml:space="preserve">Linux服务器， </w:t>
            </w:r>
            <w:r>
              <w:rPr>
                <w:rFonts w:hint="eastAsia"/>
                <w:color w:val="000000" w:themeColor="text1"/>
                <w14:textFill>
                  <w14:solidFill>
                    <w14:schemeClr w14:val="tx1"/>
                  </w14:solidFill>
                </w14:textFill>
              </w:rPr>
              <w:t>开发者务必保证所提供的源代码可以在招标方提供的服务器上稳定运行。</w:t>
            </w:r>
          </w:p>
        </w:tc>
      </w:tr>
    </w:tbl>
    <w:p>
      <w:pPr>
        <w:rPr>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ind w:firstLine="422" w:firstLineChars="20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四、</w:t>
      </w:r>
      <w:r>
        <w:rPr>
          <w:b/>
          <w:color w:val="000000" w:themeColor="text1"/>
          <w:szCs w:val="21"/>
          <w14:textFill>
            <w14:solidFill>
              <w14:schemeClr w14:val="tx1"/>
            </w14:solidFill>
          </w14:textFill>
        </w:rPr>
        <w:t>商务需求</w:t>
      </w:r>
    </w:p>
    <w:p>
      <w:pPr>
        <w:ind w:firstLine="420" w:firstLineChars="200"/>
        <w:rPr>
          <w:color w:val="000000" w:themeColor="text1"/>
          <w:szCs w:val="21"/>
          <w14:textFill>
            <w14:solidFill>
              <w14:schemeClr w14:val="tx1"/>
            </w14:solidFill>
          </w14:textFill>
        </w:rPr>
      </w:pPr>
    </w:p>
    <w:tbl>
      <w:tblPr>
        <w:tblStyle w:val="2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127"/>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8" w:type="dxa"/>
          </w:tcPr>
          <w:p>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序号</w:t>
            </w:r>
          </w:p>
        </w:tc>
        <w:tc>
          <w:tcPr>
            <w:tcW w:w="2127" w:type="dxa"/>
            <w:vAlign w:val="center"/>
          </w:tcPr>
          <w:p>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目录</w:t>
            </w:r>
          </w:p>
        </w:tc>
        <w:tc>
          <w:tcPr>
            <w:tcW w:w="6379" w:type="dxa"/>
            <w:vAlign w:val="center"/>
          </w:tcPr>
          <w:p>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trPr>
        <w:tc>
          <w:tcPr>
            <w:tcW w:w="708"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2127"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服务期限</w:t>
            </w:r>
          </w:p>
        </w:tc>
        <w:tc>
          <w:tcPr>
            <w:tcW w:w="6379"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本项目要求完成时间为签订合同后60个日历日。提供免费安装、调试、培训和5年免费维护服务，终身免费技术支持。一旦发生问题，投标人须保证在接到通知24小时内解决。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708"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2127"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服务地点</w:t>
            </w:r>
          </w:p>
        </w:tc>
        <w:tc>
          <w:tcPr>
            <w:tcW w:w="6379" w:type="dxa"/>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深圳市用户指定地点。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708"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2127"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关于验收</w:t>
            </w:r>
          </w:p>
        </w:tc>
        <w:tc>
          <w:tcPr>
            <w:tcW w:w="6379"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当满足以下条件时，采购方才向中标人签发验收报告：</w:t>
            </w:r>
          </w:p>
          <w:p>
            <w:pPr>
              <w:tabs>
                <w:tab w:val="left" w:pos="1260"/>
              </w:tabs>
              <w:rPr>
                <w:color w:val="000000" w:themeColor="text1"/>
                <w14:textFill>
                  <w14:solidFill>
                    <w14:schemeClr w14:val="tx1"/>
                  </w14:solidFill>
                </w14:textFill>
              </w:rPr>
            </w:pPr>
            <w:r>
              <w:rPr>
                <w:color w:val="000000" w:themeColor="text1"/>
                <w14:textFill>
                  <w14:solidFill>
                    <w14:schemeClr w14:val="tx1"/>
                  </w14:solidFill>
                </w14:textFill>
              </w:rPr>
              <w:t>a</w:t>
            </w:r>
            <w:r>
              <w:rPr>
                <w:rFonts w:hint="eastAsia"/>
                <w:color w:val="000000" w:themeColor="text1"/>
                <w14:textFill>
                  <w14:solidFill>
                    <w14:schemeClr w14:val="tx1"/>
                  </w14:solidFill>
                </w14:textFill>
              </w:rPr>
              <w:t>、中标人已按照合同规定提供了全部产品及完整的技术资料。</w:t>
            </w:r>
          </w:p>
          <w:p>
            <w:pPr>
              <w:tabs>
                <w:tab w:val="left" w:pos="1260"/>
              </w:tabs>
              <w:rPr>
                <w:color w:val="000000" w:themeColor="text1"/>
                <w14:textFill>
                  <w14:solidFill>
                    <w14:schemeClr w14:val="tx1"/>
                  </w14:solidFill>
                </w14:textFill>
              </w:rPr>
            </w:pPr>
            <w:r>
              <w:rPr>
                <w:color w:val="000000" w:themeColor="text1"/>
                <w14:textFill>
                  <w14:solidFill>
                    <w14:schemeClr w14:val="tx1"/>
                  </w14:solidFill>
                </w14:textFill>
              </w:rPr>
              <w:t>b</w:t>
            </w:r>
            <w:r>
              <w:rPr>
                <w:rFonts w:hint="eastAsia"/>
                <w:color w:val="000000" w:themeColor="text1"/>
                <w14:textFill>
                  <w14:solidFill>
                    <w14:schemeClr w14:val="tx1"/>
                  </w14:solidFill>
                </w14:textFill>
              </w:rPr>
              <w:t>、产品符合招标文件的技术要求，且设计满足采购方要求。</w:t>
            </w:r>
          </w:p>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c、中标人在验收前需对相关使用人员进行操作，维护等方面的培训。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708"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2127"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付款方式</w:t>
            </w:r>
          </w:p>
        </w:tc>
        <w:tc>
          <w:tcPr>
            <w:tcW w:w="6379"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验收合格后按政府规定的程序付款。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708"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2127"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其他</w:t>
            </w:r>
          </w:p>
        </w:tc>
        <w:tc>
          <w:tcPr>
            <w:tcW w:w="6379"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项目实施阶段投标方需指派固定的项目经理，如更换需提前半个月提出申请，采购方同意后方可更换。</w:t>
            </w:r>
          </w:p>
        </w:tc>
      </w:tr>
    </w:tbl>
    <w:p>
      <w:pPr>
        <w:ind w:firstLine="420" w:firstLineChars="200"/>
        <w:rPr>
          <w:color w:val="000000" w:themeColor="text1"/>
          <w:szCs w:val="21"/>
          <w14:textFill>
            <w14:solidFill>
              <w14:schemeClr w14:val="tx1"/>
            </w14:solidFill>
          </w14:textFill>
        </w:rPr>
      </w:pPr>
    </w:p>
    <w:p>
      <w:pPr>
        <w:jc w:val="center"/>
        <w:rPr>
          <w:rFonts w:eastAsia="黑体"/>
          <w:b/>
          <w:color w:val="000000" w:themeColor="text1"/>
          <w:sz w:val="44"/>
          <w14:textFill>
            <w14:solidFill>
              <w14:schemeClr w14:val="tx1"/>
            </w14:solidFill>
          </w14:textFill>
        </w:rPr>
      </w:pPr>
      <w:r>
        <w:rPr>
          <w:color w:val="000000" w:themeColor="text1"/>
          <w14:textFill>
            <w14:solidFill>
              <w14:schemeClr w14:val="tx1"/>
            </w14:solidFill>
          </w14:textFill>
        </w:rPr>
        <w:br w:type="page"/>
      </w:r>
      <w:r>
        <w:rPr>
          <w:rFonts w:eastAsia="黑体"/>
          <w:b/>
          <w:color w:val="000000" w:themeColor="text1"/>
          <w:sz w:val="44"/>
          <w14:textFill>
            <w14:solidFill>
              <w14:schemeClr w14:val="tx1"/>
            </w14:solidFill>
          </w14:textFill>
        </w:rPr>
        <w:t>第三部分</w:t>
      </w:r>
      <w:r>
        <w:rPr>
          <w:rFonts w:hint="eastAsia" w:eastAsia="黑体"/>
          <w:b/>
          <w:color w:val="000000" w:themeColor="text1"/>
          <w:sz w:val="44"/>
          <w14:textFill>
            <w14:solidFill>
              <w14:schemeClr w14:val="tx1"/>
            </w14:solidFill>
          </w14:textFill>
        </w:rPr>
        <w:t xml:space="preserve"> </w:t>
      </w:r>
      <w:r>
        <w:rPr>
          <w:rFonts w:eastAsia="黑体"/>
          <w:b/>
          <w:color w:val="000000" w:themeColor="text1"/>
          <w:sz w:val="44"/>
          <w14:textFill>
            <w14:solidFill>
              <w14:schemeClr w14:val="tx1"/>
            </w14:solidFill>
          </w14:textFill>
        </w:rPr>
        <w:t>格式及附件</w:t>
      </w:r>
    </w:p>
    <w:p>
      <w:pPr>
        <w:pStyle w:val="4"/>
        <w:jc w:val="center"/>
        <w:rPr>
          <w:rFonts w:ascii="Times New Roman" w:hAnsi="Times New Roman"/>
          <w:color w:val="000000" w:themeColor="text1"/>
          <w14:textFill>
            <w14:solidFill>
              <w14:schemeClr w14:val="tx1"/>
            </w14:solidFill>
          </w14:textFill>
        </w:rPr>
      </w:pPr>
      <w:bookmarkStart w:id="223" w:name="合同协议书"/>
      <w:r>
        <w:rPr>
          <w:rFonts w:ascii="Times New Roman" w:hAnsi="Times New Roman"/>
          <w:color w:val="000000" w:themeColor="text1"/>
          <w14:textFill>
            <w14:solidFill>
              <w14:schemeClr w14:val="tx1"/>
            </w14:solidFill>
          </w14:textFill>
        </w:rPr>
        <w:t>第一章</w:t>
      </w:r>
      <w:r>
        <w:rPr>
          <w:rFonts w:hint="eastAsia" w:ascii="Times New Roman" w:hAnsi="Times New Roman"/>
          <w:color w:val="000000" w:themeColor="text1"/>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合同条款及格式</w:t>
      </w:r>
    </w:p>
    <w:p>
      <w:pPr>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（供参考）</w:t>
      </w:r>
    </w:p>
    <w:p>
      <w:pPr>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合同格式如下，其中招投标文件及其附件作为合同的重要组成部分：</w:t>
      </w:r>
    </w:p>
    <w:p>
      <w:pPr>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采购人（全称）：（甲方）</w:t>
      </w:r>
    </w:p>
    <w:p>
      <w:pPr>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承包人（全称）：（乙方）</w:t>
      </w:r>
    </w:p>
    <w:p>
      <w:pPr>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本项目于</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年</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月</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日公开招标采购确定由乙方提供服务。</w:t>
      </w:r>
    </w:p>
    <w:p>
      <w:pPr>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依照《中华人民共和国合同法》、《深圳经济特区政府采购条例》及其他有关法律、法规、规章和合同格式范本，并结合深圳市有关规定及本项目的具体情况，遵循平等、自愿、公平和诚实信用的原则，双方就本项目协商一致，订立本协议。</w:t>
      </w:r>
    </w:p>
    <w:p>
      <w:pPr>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（一）项目概况</w:t>
      </w:r>
    </w:p>
    <w:p>
      <w:pPr>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项目名称：目地点：</w:t>
      </w:r>
    </w:p>
    <w:p>
      <w:pPr>
        <w:snapToGrid w:val="0"/>
        <w:spacing w:line="360" w:lineRule="auto"/>
        <w:ind w:firstLine="480" w:firstLineChars="200"/>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项目规模及特征：</w:t>
      </w:r>
    </w:p>
    <w:p>
      <w:pPr>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（二）项目范围</w:t>
      </w:r>
    </w:p>
    <w:p>
      <w:pPr>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服务范围：</w:t>
      </w:r>
    </w:p>
    <w:p>
      <w:pPr>
        <w:snapToGrid w:val="0"/>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服务方式：</w:t>
      </w:r>
    </w:p>
    <w:p>
      <w:pPr>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（三）合同期限</w:t>
      </w:r>
    </w:p>
    <w:p>
      <w:pPr>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合同期限</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总日历天数</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天</w:t>
      </w:r>
    </w:p>
    <w:p>
      <w:pPr>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（四）质量标准</w:t>
      </w:r>
    </w:p>
    <w:p>
      <w:pPr>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质量标准：按照国家验收标准达到。</w:t>
      </w:r>
    </w:p>
    <w:p>
      <w:pPr>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（五）合同价款</w:t>
      </w:r>
    </w:p>
    <w:p>
      <w:pPr>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币种：</w:t>
      </w:r>
    </w:p>
    <w:p>
      <w:pPr>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合同总价（大写）：</w:t>
      </w:r>
    </w:p>
    <w:p>
      <w:pPr>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（小写）：</w:t>
      </w:r>
    </w:p>
    <w:p>
      <w:pPr>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合同价的构成方式：</w:t>
      </w:r>
    </w:p>
    <w:p>
      <w:pPr>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（六）组成合同的文件</w:t>
      </w:r>
    </w:p>
    <w:p>
      <w:pPr>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组成本合同的文件包括：</w:t>
      </w:r>
    </w:p>
    <w:p>
      <w:pPr>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1．本合同格式书</w:t>
      </w:r>
    </w:p>
    <w:p>
      <w:pPr>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2．中标通知书</w:t>
      </w:r>
    </w:p>
    <w:p>
      <w:pPr>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3．投标文件及其附件</w:t>
      </w:r>
    </w:p>
    <w:p>
      <w:pPr>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4．招标文件</w:t>
      </w:r>
    </w:p>
    <w:p>
      <w:pPr>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5．本合同条款</w:t>
      </w:r>
    </w:p>
    <w:p>
      <w:pPr>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6．标准、规范及有关技术文件</w:t>
      </w:r>
    </w:p>
    <w:p>
      <w:pPr>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7．项目量和设备材料清单</w:t>
      </w:r>
    </w:p>
    <w:p>
      <w:pPr>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8．双方有关项目的洽商、补充等方面协议或文件</w:t>
      </w:r>
    </w:p>
    <w:p>
      <w:pPr>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9．其他</w:t>
      </w:r>
    </w:p>
    <w:p>
      <w:pPr>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（七）本协议书中有关词语含义与《合同条款范本》中分别赋予它们的定义相同。</w:t>
      </w:r>
    </w:p>
    <w:p>
      <w:pPr>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（八）承包人须按照合同约定进行服务，并在服务期内承担项目质量责任。</w:t>
      </w:r>
    </w:p>
    <w:p>
      <w:pPr>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（九）采购人须按照合同约定的期限和方式支付合同价款及其他应当支付的款项。</w:t>
      </w:r>
    </w:p>
    <w:p>
      <w:pPr>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（十）合同生效</w:t>
      </w:r>
    </w:p>
    <w:p>
      <w:pPr>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合同订立时间：</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年</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月</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日</w:t>
      </w:r>
    </w:p>
    <w:p>
      <w:pPr>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合同订立地点：</w:t>
      </w:r>
    </w:p>
    <w:p>
      <w:pPr>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发包人：（公章）</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承包人：（公章）</w:t>
      </w:r>
    </w:p>
    <w:p>
      <w:pPr>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住所：</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住所：</w:t>
      </w:r>
    </w:p>
    <w:p>
      <w:pPr>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法定代表人：</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法定代表人：</w:t>
      </w:r>
    </w:p>
    <w:p>
      <w:pPr>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委托代理人：</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委托代理人：</w:t>
      </w:r>
    </w:p>
    <w:p>
      <w:pPr>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电话：</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电话：</w:t>
      </w:r>
    </w:p>
    <w:p>
      <w:pPr>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传真：</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传真：</w:t>
      </w:r>
    </w:p>
    <w:p>
      <w:pPr>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开户银行：</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开户银行：</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账号</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 xml:space="preserve">                              </w:t>
      </w:r>
      <w:r>
        <w:rPr>
          <w:rFonts w:hint="eastAsia"/>
          <w:color w:val="000000" w:themeColor="text1"/>
          <w:sz w:val="24"/>
          <w:lang w:eastAsia="zh-CN"/>
          <w14:textFill>
            <w14:solidFill>
              <w14:schemeClr w14:val="tx1"/>
            </w14:solidFill>
          </w14:textFill>
        </w:rPr>
        <w:t>账号</w:t>
      </w:r>
      <w:r>
        <w:rPr>
          <w:color w:val="000000" w:themeColor="text1"/>
          <w:sz w:val="24"/>
          <w14:textFill>
            <w14:solidFill>
              <w14:schemeClr w14:val="tx1"/>
            </w14:solidFill>
          </w14:textFill>
        </w:rPr>
        <w:t>：</w:t>
      </w:r>
    </w:p>
    <w:p>
      <w:pPr>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邮政编码：</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邮政编码：</w:t>
      </w:r>
    </w:p>
    <w:p>
      <w:pPr>
        <w:snapToGrid w:val="0"/>
        <w:spacing w:line="360" w:lineRule="auto"/>
        <w:ind w:firstLine="480" w:firstLineChars="200"/>
        <w:rPr>
          <w:color w:val="000000" w:themeColor="text1"/>
          <w:sz w:val="24"/>
          <w14:textFill>
            <w14:solidFill>
              <w14:schemeClr w14:val="tx1"/>
            </w14:solidFill>
          </w14:textFill>
        </w:rPr>
      </w:pPr>
    </w:p>
    <w:p>
      <w:pPr>
        <w:snapToGrid w:val="0"/>
        <w:spacing w:line="360" w:lineRule="auto"/>
        <w:ind w:firstLine="480" w:firstLineChars="20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年</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月</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日</w:t>
      </w:r>
    </w:p>
    <w:p>
      <w:pPr>
        <w:pStyle w:val="12"/>
        <w:adjustRightInd w:val="0"/>
        <w:snapToGrid w:val="0"/>
        <w:spacing w:before="156" w:after="156"/>
        <w:ind w:firstLine="420" w:firstLineChars="200"/>
        <w:rPr>
          <w:rFonts w:ascii="Times New Roman" w:hAnsi="Times New Roman"/>
          <w:color w:val="000000" w:themeColor="text1"/>
          <w:szCs w:val="21"/>
          <w14:textFill>
            <w14:solidFill>
              <w14:schemeClr w14:val="tx1"/>
            </w14:solidFill>
          </w14:textFill>
        </w:rPr>
      </w:pPr>
    </w:p>
    <w:p>
      <w:pPr>
        <w:spacing w:line="360" w:lineRule="auto"/>
        <w:ind w:left="359" w:leftChars="171"/>
        <w:rPr>
          <w:color w:val="000000" w:themeColor="text1"/>
          <w:szCs w:val="21"/>
          <w14:textFill>
            <w14:solidFill>
              <w14:schemeClr w14:val="tx1"/>
            </w14:solidFill>
          </w14:textFill>
        </w:rPr>
      </w:pPr>
    </w:p>
    <w:p>
      <w:pPr>
        <w:spacing w:line="360" w:lineRule="auto"/>
        <w:ind w:left="359" w:leftChars="171" w:firstLine="420" w:firstLineChars="200"/>
        <w:rPr>
          <w:bCs/>
          <w:color w:val="000000" w:themeColor="text1"/>
          <w:sz w:val="24"/>
          <w:szCs w:val="21"/>
          <w14:textFill>
            <w14:solidFill>
              <w14:schemeClr w14:val="tx1"/>
            </w14:solidFill>
          </w14:textFill>
        </w:rPr>
      </w:pPr>
      <w:r>
        <w:rPr>
          <w:color w:val="000000" w:themeColor="text1"/>
          <w:szCs w:val="21"/>
          <w14:textFill>
            <w14:solidFill>
              <w14:schemeClr w14:val="tx1"/>
            </w14:solidFill>
          </w14:textFill>
        </w:rPr>
        <w:t>注：本合同样本仅供参考，具体条款内容由</w:t>
      </w:r>
      <w:r>
        <w:rPr>
          <w:rFonts w:hint="eastAsia"/>
          <w:color w:val="000000" w:themeColor="text1"/>
          <w:szCs w:val="21"/>
          <w14:textFill>
            <w14:solidFill>
              <w14:schemeClr w14:val="tx1"/>
            </w14:solidFill>
          </w14:textFill>
        </w:rPr>
        <w:t>招标方</w:t>
      </w:r>
      <w:r>
        <w:rPr>
          <w:color w:val="000000" w:themeColor="text1"/>
          <w:szCs w:val="21"/>
          <w14:textFill>
            <w14:solidFill>
              <w14:schemeClr w14:val="tx1"/>
            </w14:solidFill>
          </w14:textFill>
        </w:rPr>
        <w:t>和中标单位协商确定。</w:t>
      </w:r>
    </w:p>
    <w:p>
      <w:pPr>
        <w:spacing w:line="360" w:lineRule="auto"/>
        <w:ind w:left="359" w:leftChars="171" w:firstLine="480" w:firstLineChars="200"/>
        <w:rPr>
          <w:bCs/>
          <w:color w:val="000000" w:themeColor="text1"/>
          <w:sz w:val="24"/>
          <w:szCs w:val="2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rPr>
          <w:color w:val="000000" w:themeColor="text1"/>
          <w14:textFill>
            <w14:solidFill>
              <w14:schemeClr w14:val="tx1"/>
            </w14:solidFill>
          </w14:textFill>
        </w:rPr>
      </w:pPr>
    </w:p>
    <w:p>
      <w:pPr>
        <w:pStyle w:val="4"/>
        <w:jc w:val="center"/>
        <w:rPr>
          <w:rFonts w:ascii="Times New Roman" w:hAnsi="Times New Roman"/>
          <w:bCs w:val="0"/>
          <w:color w:val="000000" w:themeColor="text1"/>
          <w:sz w:val="28"/>
          <w14:textFill>
            <w14:solidFill>
              <w14:schemeClr w14:val="tx1"/>
            </w14:solidFill>
          </w14:textFill>
        </w:rPr>
      </w:pPr>
      <w:r>
        <w:rPr>
          <w:rFonts w:ascii="Times New Roman" w:hAnsi="Times New Roman"/>
          <w:color w:val="000000" w:themeColor="text1"/>
          <w14:textFill>
            <w14:solidFill>
              <w14:schemeClr w14:val="tx1"/>
            </w14:solidFill>
          </w14:textFill>
        </w:rPr>
        <w:t>第二章</w:t>
      </w:r>
      <w:r>
        <w:rPr>
          <w:rFonts w:hint="eastAsia" w:ascii="Times New Roman" w:hAnsi="Times New Roman"/>
          <w:color w:val="000000" w:themeColor="text1"/>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投标文件的格式、附件</w:t>
      </w:r>
    </w:p>
    <w:p>
      <w:pPr>
        <w:pStyle w:val="38"/>
        <w:rPr>
          <w:color w:val="000000" w:themeColor="text1"/>
          <w14:textFill>
            <w14:solidFill>
              <w14:schemeClr w14:val="tx1"/>
            </w14:solidFill>
          </w14:textFill>
        </w:rPr>
      </w:pPr>
    </w:p>
    <w:p>
      <w:pPr>
        <w:jc w:val="center"/>
        <w:rPr>
          <w:rFonts w:ascii="宋体" w:hAnsi="宋体"/>
          <w:snapToGrid w:val="0"/>
          <w:color w:val="000000" w:themeColor="text1"/>
          <w:kern w:val="0"/>
          <w:sz w:val="52"/>
          <w:szCs w:val="52"/>
          <w14:textFill>
            <w14:solidFill>
              <w14:schemeClr w14:val="tx1"/>
            </w14:solidFill>
          </w14:textFill>
        </w:rPr>
      </w:pPr>
      <w:r>
        <w:rPr>
          <w:rFonts w:ascii="宋体" w:hAnsi="宋体"/>
          <w:snapToGrid w:val="0"/>
          <w:color w:val="000000" w:themeColor="text1"/>
          <w:kern w:val="0"/>
          <w:sz w:val="52"/>
          <w:szCs w:val="52"/>
          <w14:textFill>
            <w14:solidFill>
              <w14:schemeClr w14:val="tx1"/>
            </w14:solidFill>
          </w14:textFill>
        </w:rPr>
        <w:t>HITSZ-EIC-IM01</w:t>
      </w:r>
    </w:p>
    <w:p>
      <w:pPr>
        <w:jc w:val="center"/>
        <w:rPr>
          <w:color w:val="000000" w:themeColor="text1"/>
          <w:kern w:val="0"/>
          <w:sz w:val="52"/>
          <w:szCs w:val="52"/>
          <w14:textFill>
            <w14:solidFill>
              <w14:schemeClr w14:val="tx1"/>
            </w14:solidFill>
          </w14:textFill>
        </w:rPr>
      </w:pPr>
      <w:r>
        <w:rPr>
          <w:rFonts w:hint="eastAsia"/>
          <w:color w:val="000000" w:themeColor="text1"/>
          <w:kern w:val="0"/>
          <w:sz w:val="52"/>
          <w:szCs w:val="52"/>
          <w14:textFill>
            <w14:solidFill>
              <w14:schemeClr w14:val="tx1"/>
            </w14:solidFill>
          </w14:textFill>
        </w:rPr>
        <w:t>哈尔滨工业大学（深圳）实验与创新实践教育中心网站建设</w:t>
      </w:r>
    </w:p>
    <w:p>
      <w:pPr>
        <w:jc w:val="center"/>
        <w:rPr>
          <w:color w:val="000000" w:themeColor="text1"/>
          <w:sz w:val="44"/>
          <w:szCs w:val="44"/>
          <w14:textFill>
            <w14:solidFill>
              <w14:schemeClr w14:val="tx1"/>
            </w14:solidFill>
          </w14:textFill>
        </w:rPr>
      </w:pPr>
      <w:r>
        <w:rPr>
          <w:color w:val="000000" w:themeColor="text1"/>
          <w:sz w:val="44"/>
          <w:szCs w:val="44"/>
          <w14:textFill>
            <w14:solidFill>
              <w14:schemeClr w14:val="tx1"/>
            </w14:solidFill>
          </w14:textFill>
        </w:rPr>
        <w:t>（唱标信封）</w:t>
      </w:r>
    </w:p>
    <w:p>
      <w:pPr>
        <w:jc w:val="center"/>
        <w:rPr>
          <w:color w:val="000000" w:themeColor="text1"/>
          <w:sz w:val="44"/>
          <w:szCs w:val="44"/>
          <w14:textFill>
            <w14:solidFill>
              <w14:schemeClr w14:val="tx1"/>
            </w14:solidFill>
          </w14:textFill>
        </w:rPr>
      </w:pPr>
    </w:p>
    <w:p>
      <w:pPr>
        <w:jc w:val="center"/>
        <w:rPr>
          <w:color w:val="000000" w:themeColor="text1"/>
          <w:sz w:val="44"/>
          <w:szCs w:val="44"/>
          <w14:textFill>
            <w14:solidFill>
              <w14:schemeClr w14:val="tx1"/>
            </w14:solidFill>
          </w14:textFill>
        </w:rPr>
      </w:pPr>
    </w:p>
    <w:p>
      <w:pPr>
        <w:jc w:val="center"/>
        <w:rPr>
          <w:color w:val="000000" w:themeColor="text1"/>
          <w:sz w:val="44"/>
          <w:szCs w:val="44"/>
          <w14:textFill>
            <w14:solidFill>
              <w14:schemeClr w14:val="tx1"/>
            </w14:solidFill>
          </w14:textFill>
        </w:rPr>
      </w:pPr>
    </w:p>
    <w:p>
      <w:pPr>
        <w:jc w:val="center"/>
        <w:rPr>
          <w:color w:val="000000" w:themeColor="text1"/>
          <w:sz w:val="44"/>
          <w:szCs w:val="44"/>
          <w14:textFill>
            <w14:solidFill>
              <w14:schemeClr w14:val="tx1"/>
            </w14:solidFill>
          </w14:textFill>
        </w:rPr>
      </w:pPr>
    </w:p>
    <w:p>
      <w:pPr>
        <w:rPr>
          <w:color w:val="000000" w:themeColor="text1"/>
          <w:sz w:val="44"/>
          <w:szCs w:val="44"/>
          <w14:textFill>
            <w14:solidFill>
              <w14:schemeClr w14:val="tx1"/>
            </w14:solidFill>
          </w14:textFill>
        </w:rPr>
      </w:pPr>
    </w:p>
    <w:p>
      <w:pPr>
        <w:spacing w:line="480" w:lineRule="auto"/>
        <w:ind w:firstLine="1400" w:firstLineChars="500"/>
        <w:rPr>
          <w:color w:val="000000" w:themeColor="text1"/>
          <w:sz w:val="28"/>
          <w:szCs w:val="28"/>
          <w:u w:val="single"/>
          <w14:textFill>
            <w14:solidFill>
              <w14:schemeClr w14:val="tx1"/>
            </w14:solidFill>
          </w14:textFill>
        </w:rPr>
      </w:pPr>
      <w:r>
        <w:rPr>
          <w:color w:val="000000" w:themeColor="text1"/>
          <w:sz w:val="28"/>
          <w:szCs w:val="28"/>
          <w14:textFill>
            <w14:solidFill>
              <w14:schemeClr w14:val="tx1"/>
            </w14:solidFill>
          </w14:textFill>
        </w:rPr>
        <w:t>项目编号：_____________________________</w:t>
      </w:r>
    </w:p>
    <w:p>
      <w:pPr>
        <w:spacing w:line="480" w:lineRule="auto"/>
        <w:ind w:firstLine="1400" w:firstLineChars="500"/>
        <w:rPr>
          <w:color w:val="000000" w:themeColor="text1"/>
          <w:sz w:val="28"/>
          <w:szCs w:val="28"/>
          <w:u w:val="single"/>
          <w14:textFill>
            <w14:solidFill>
              <w14:schemeClr w14:val="tx1"/>
            </w14:solidFill>
          </w14:textFill>
        </w:rPr>
      </w:pPr>
      <w:r>
        <w:rPr>
          <w:color w:val="000000" w:themeColor="text1"/>
          <w:sz w:val="28"/>
          <w:szCs w:val="28"/>
          <w14:textFill>
            <w14:solidFill>
              <w14:schemeClr w14:val="tx1"/>
            </w14:solidFill>
          </w14:textFill>
        </w:rPr>
        <w:t>供应商（盖章）：___________________________</w:t>
      </w:r>
    </w:p>
    <w:p>
      <w:pPr>
        <w:spacing w:line="480" w:lineRule="auto"/>
        <w:ind w:firstLine="1400" w:firstLineChars="5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法定代表人或授权委托人签字：__________________</w:t>
      </w:r>
    </w:p>
    <w:p>
      <w:pPr>
        <w:spacing w:line="360" w:lineRule="auto"/>
        <w:ind w:firstLine="1400" w:firstLineChars="5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投标日期：____________年_____月______日</w:t>
      </w:r>
    </w:p>
    <w:p>
      <w:pPr>
        <w:pStyle w:val="3"/>
        <w:spacing w:before="120" w:after="120"/>
        <w:jc w:val="center"/>
        <w:rPr>
          <w:rFonts w:eastAsia="黑体"/>
          <w:b w:val="0"/>
          <w:color w:val="000000" w:themeColor="text1"/>
          <w:sz w:val="44"/>
          <w14:textFill>
            <w14:solidFill>
              <w14:schemeClr w14:val="tx1"/>
            </w14:solidFill>
          </w14:textFill>
        </w:rPr>
      </w:pPr>
      <w:r>
        <w:rPr>
          <w:b w:val="0"/>
          <w:bCs w:val="0"/>
          <w:color w:val="000000" w:themeColor="text1"/>
          <w:sz w:val="28"/>
          <w:szCs w:val="28"/>
          <w14:textFill>
            <w14:solidFill>
              <w14:schemeClr w14:val="tx1"/>
            </w14:solidFill>
          </w14:textFill>
        </w:rPr>
        <w:br w:type="page"/>
      </w:r>
      <w:r>
        <w:rPr>
          <w:color w:val="000000" w:themeColor="text1"/>
          <w14:textFill>
            <w14:solidFill>
              <w14:schemeClr w14:val="tx1"/>
            </w14:solidFill>
          </w14:textFill>
        </w:rPr>
        <w:t>一、开标一览表</w:t>
      </w:r>
    </w:p>
    <w:p>
      <w:pPr>
        <w:jc w:val="right"/>
        <w:rPr>
          <w:bCs/>
          <w:snapToGrid w:val="0"/>
          <w:color w:val="000000" w:themeColor="text1"/>
          <w:kern w:val="0"/>
          <w14:textFill>
            <w14:solidFill>
              <w14:schemeClr w14:val="tx1"/>
            </w14:solidFill>
          </w14:textFill>
        </w:rPr>
      </w:pPr>
      <w:r>
        <w:rPr>
          <w:bCs/>
          <w:snapToGrid w:val="0"/>
          <w:color w:val="000000" w:themeColor="text1"/>
          <w:kern w:val="0"/>
          <w14:textFill>
            <w14:solidFill>
              <w14:schemeClr w14:val="tx1"/>
            </w14:solidFill>
          </w14:textFill>
        </w:rPr>
        <w:t>单位：人民币元</w:t>
      </w:r>
    </w:p>
    <w:tbl>
      <w:tblPr>
        <w:tblStyle w:val="24"/>
        <w:tblW w:w="964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700"/>
        <w:gridCol w:w="1994"/>
        <w:gridCol w:w="2835"/>
        <w:gridCol w:w="75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1368" w:type="dxa"/>
            <w:tcBorders>
              <w:top w:val="double" w:color="auto" w:sz="4" w:space="0"/>
              <w:bottom w:val="single" w:color="auto" w:sz="4" w:space="0"/>
            </w:tcBorders>
            <w:vAlign w:val="center"/>
          </w:tcPr>
          <w:p>
            <w:pPr>
              <w:jc w:val="center"/>
              <w:rPr>
                <w:snapToGrid w:val="0"/>
                <w:color w:val="000000" w:themeColor="text1"/>
                <w:kern w:val="0"/>
                <w14:textFill>
                  <w14:solidFill>
                    <w14:schemeClr w14:val="tx1"/>
                  </w14:solidFill>
                </w14:textFill>
              </w:rPr>
            </w:pPr>
            <w:r>
              <w:rPr>
                <w:snapToGrid w:val="0"/>
                <w:color w:val="000000" w:themeColor="text1"/>
                <w:kern w:val="0"/>
                <w14:textFill>
                  <w14:solidFill>
                    <w14:schemeClr w14:val="tx1"/>
                  </w14:solidFill>
                </w14:textFill>
              </w:rPr>
              <w:t>项目编号</w:t>
            </w:r>
          </w:p>
        </w:tc>
        <w:tc>
          <w:tcPr>
            <w:tcW w:w="2700" w:type="dxa"/>
            <w:tcBorders>
              <w:top w:val="double" w:color="auto" w:sz="4" w:space="0"/>
              <w:bottom w:val="single" w:color="auto" w:sz="4" w:space="0"/>
            </w:tcBorders>
            <w:vAlign w:val="center"/>
          </w:tcPr>
          <w:p>
            <w:pPr>
              <w:jc w:val="center"/>
              <w:rPr>
                <w:snapToGrid w:val="0"/>
                <w:color w:val="000000" w:themeColor="text1"/>
                <w:kern w:val="0"/>
                <w14:textFill>
                  <w14:solidFill>
                    <w14:schemeClr w14:val="tx1"/>
                  </w14:solidFill>
                </w14:textFill>
              </w:rPr>
            </w:pPr>
            <w:r>
              <w:rPr>
                <w:snapToGrid w:val="0"/>
                <w:color w:val="000000" w:themeColor="text1"/>
                <w:kern w:val="0"/>
                <w14:textFill>
                  <w14:solidFill>
                    <w14:schemeClr w14:val="tx1"/>
                  </w14:solidFill>
                </w14:textFill>
              </w:rPr>
              <w:t>项目名称</w:t>
            </w:r>
          </w:p>
        </w:tc>
        <w:tc>
          <w:tcPr>
            <w:tcW w:w="1994" w:type="dxa"/>
            <w:tcBorders>
              <w:top w:val="double" w:color="auto" w:sz="4" w:space="0"/>
              <w:bottom w:val="single" w:color="auto" w:sz="4" w:space="0"/>
            </w:tcBorders>
            <w:vAlign w:val="center"/>
          </w:tcPr>
          <w:p>
            <w:pPr>
              <w:jc w:val="center"/>
              <w:rPr>
                <w:snapToGrid w:val="0"/>
                <w:color w:val="000000" w:themeColor="text1"/>
                <w:kern w:val="0"/>
                <w14:textFill>
                  <w14:solidFill>
                    <w14:schemeClr w14:val="tx1"/>
                  </w14:solidFill>
                </w14:textFill>
              </w:rPr>
            </w:pPr>
            <w:r>
              <w:rPr>
                <w:snapToGrid w:val="0"/>
                <w:color w:val="000000" w:themeColor="text1"/>
                <w:kern w:val="0"/>
                <w14:textFill>
                  <w14:solidFill>
                    <w14:schemeClr w14:val="tx1"/>
                  </w14:solidFill>
                </w14:textFill>
              </w:rPr>
              <w:t>投标总价</w:t>
            </w:r>
          </w:p>
        </w:tc>
        <w:tc>
          <w:tcPr>
            <w:tcW w:w="2835" w:type="dxa"/>
            <w:tcBorders>
              <w:top w:val="double" w:color="auto" w:sz="4" w:space="0"/>
              <w:bottom w:val="single" w:color="auto" w:sz="4" w:space="0"/>
            </w:tcBorders>
            <w:vAlign w:val="center"/>
          </w:tcPr>
          <w:p>
            <w:pPr>
              <w:jc w:val="center"/>
              <w:rPr>
                <w:snapToGrid w:val="0"/>
                <w:color w:val="000000" w:themeColor="text1"/>
                <w:kern w:val="0"/>
                <w14:textFill>
                  <w14:solidFill>
                    <w14:schemeClr w14:val="tx1"/>
                  </w14:solidFill>
                </w14:textFill>
              </w:rPr>
            </w:pPr>
            <w:r>
              <w:rPr>
                <w:snapToGrid w:val="0"/>
                <w:color w:val="000000" w:themeColor="text1"/>
                <w:kern w:val="0"/>
                <w14:textFill>
                  <w14:solidFill>
                    <w14:schemeClr w14:val="tx1"/>
                  </w14:solidFill>
                </w14:textFill>
              </w:rPr>
              <w:t>服务期限</w:t>
            </w:r>
          </w:p>
        </w:tc>
        <w:tc>
          <w:tcPr>
            <w:tcW w:w="751" w:type="dxa"/>
            <w:tcBorders>
              <w:top w:val="double" w:color="auto" w:sz="4" w:space="0"/>
              <w:bottom w:val="single" w:color="auto" w:sz="4" w:space="0"/>
            </w:tcBorders>
            <w:vAlign w:val="center"/>
          </w:tcPr>
          <w:p>
            <w:pPr>
              <w:jc w:val="center"/>
              <w:rPr>
                <w:snapToGrid w:val="0"/>
                <w:color w:val="000000" w:themeColor="text1"/>
                <w:kern w:val="0"/>
                <w14:textFill>
                  <w14:solidFill>
                    <w14:schemeClr w14:val="tx1"/>
                  </w14:solidFill>
                </w14:textFill>
              </w:rPr>
            </w:pPr>
            <w:r>
              <w:rPr>
                <w:snapToGrid w:val="0"/>
                <w:color w:val="000000" w:themeColor="text1"/>
                <w:kern w:val="0"/>
                <w14:textFill>
                  <w14:solidFill>
                    <w14:schemeClr w14:val="tx1"/>
                  </w14:solidFill>
                </w14:textFill>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1368" w:type="dxa"/>
            <w:tcBorders>
              <w:top w:val="single" w:color="auto" w:sz="4" w:space="0"/>
            </w:tcBorders>
            <w:vAlign w:val="center"/>
          </w:tcPr>
          <w:p>
            <w:pPr>
              <w:jc w:val="center"/>
              <w:rPr>
                <w:snapToGrid w:val="0"/>
                <w:color w:val="000000" w:themeColor="text1"/>
                <w:kern w:val="0"/>
                <w:u w:val="single"/>
                <w14:textFill>
                  <w14:solidFill>
                    <w14:schemeClr w14:val="tx1"/>
                  </w14:solidFill>
                </w14:textFill>
              </w:rPr>
            </w:pPr>
            <w:r>
              <w:rPr>
                <w:snapToGrid w:val="0"/>
                <w:color w:val="000000" w:themeColor="text1"/>
                <w:kern w:val="0"/>
                <w14:textFill>
                  <w14:solidFill>
                    <w14:schemeClr w14:val="tx1"/>
                  </w14:solidFill>
                </w14:textFill>
              </w:rPr>
              <w:t>HITSZ-EIC-IM01</w:t>
            </w:r>
          </w:p>
        </w:tc>
        <w:tc>
          <w:tcPr>
            <w:tcW w:w="2700" w:type="dxa"/>
            <w:tcBorders>
              <w:top w:val="single" w:color="auto" w:sz="4" w:space="0"/>
            </w:tcBorders>
            <w:vAlign w:val="center"/>
          </w:tcPr>
          <w:p>
            <w:pPr>
              <w:jc w:val="center"/>
              <w:rPr>
                <w:snapToGrid w:val="0"/>
                <w:color w:val="000000" w:themeColor="text1"/>
                <w:kern w:val="0"/>
                <w14:textFill>
                  <w14:solidFill>
                    <w14:schemeClr w14:val="tx1"/>
                  </w14:solidFill>
                </w14:textFill>
              </w:rPr>
            </w:pPr>
            <w:r>
              <w:rPr>
                <w:rFonts w:hint="eastAsia"/>
                <w:snapToGrid w:val="0"/>
                <w:color w:val="000000" w:themeColor="text1"/>
                <w:kern w:val="0"/>
                <w14:textFill>
                  <w14:solidFill>
                    <w14:schemeClr w14:val="tx1"/>
                  </w14:solidFill>
                </w14:textFill>
              </w:rPr>
              <w:t>哈尔滨工业大学（深圳）</w:t>
            </w:r>
          </w:p>
          <w:p>
            <w:pPr>
              <w:jc w:val="center"/>
              <w:rPr>
                <w:snapToGrid w:val="0"/>
                <w:color w:val="000000" w:themeColor="text1"/>
                <w:kern w:val="0"/>
                <w14:textFill>
                  <w14:solidFill>
                    <w14:schemeClr w14:val="tx1"/>
                  </w14:solidFill>
                </w14:textFill>
              </w:rPr>
            </w:pPr>
            <w:r>
              <w:rPr>
                <w:rFonts w:hint="eastAsia"/>
                <w:snapToGrid w:val="0"/>
                <w:color w:val="000000" w:themeColor="text1"/>
                <w:kern w:val="0"/>
                <w14:textFill>
                  <w14:solidFill>
                    <w14:schemeClr w14:val="tx1"/>
                  </w14:solidFill>
                </w14:textFill>
              </w:rPr>
              <w:t>实验与创新实践教育中心网站建设</w:t>
            </w:r>
          </w:p>
        </w:tc>
        <w:tc>
          <w:tcPr>
            <w:tcW w:w="1994" w:type="dxa"/>
            <w:tcBorders>
              <w:top w:val="single" w:color="auto" w:sz="4" w:space="0"/>
            </w:tcBorders>
            <w:vAlign w:val="center"/>
          </w:tcPr>
          <w:p>
            <w:pPr>
              <w:rPr>
                <w:snapToGrid w:val="0"/>
                <w:color w:val="000000" w:themeColor="text1"/>
                <w:kern w:val="0"/>
                <w14:textFill>
                  <w14:solidFill>
                    <w14:schemeClr w14:val="tx1"/>
                  </w14:solidFill>
                </w14:textFill>
              </w:rPr>
            </w:pPr>
            <w:r>
              <w:rPr>
                <w:snapToGrid w:val="0"/>
                <w:color w:val="000000" w:themeColor="text1"/>
                <w:kern w:val="0"/>
                <w14:textFill>
                  <w14:solidFill>
                    <w14:schemeClr w14:val="tx1"/>
                  </w14:solidFill>
                </w14:textFill>
              </w:rPr>
              <w:t>大写：</w:t>
            </w:r>
          </w:p>
          <w:p>
            <w:pPr>
              <w:rPr>
                <w:snapToGrid w:val="0"/>
                <w:color w:val="000000" w:themeColor="text1"/>
                <w:kern w:val="0"/>
                <w14:textFill>
                  <w14:solidFill>
                    <w14:schemeClr w14:val="tx1"/>
                  </w14:solidFill>
                </w14:textFill>
              </w:rPr>
            </w:pPr>
            <w:r>
              <w:rPr>
                <w:snapToGrid w:val="0"/>
                <w:color w:val="000000" w:themeColor="text1"/>
                <w:kern w:val="0"/>
                <w14:textFill>
                  <w14:solidFill>
                    <w14:schemeClr w14:val="tx1"/>
                  </w14:solidFill>
                </w14:textFill>
              </w:rPr>
              <w:t>小写：</w:t>
            </w:r>
          </w:p>
        </w:tc>
        <w:tc>
          <w:tcPr>
            <w:tcW w:w="2835" w:type="dxa"/>
            <w:tcBorders>
              <w:top w:val="single" w:color="auto" w:sz="4" w:space="0"/>
            </w:tcBorders>
            <w:vAlign w:val="center"/>
          </w:tcPr>
          <w:p>
            <w:pPr>
              <w:jc w:val="left"/>
              <w:rPr>
                <w:snapToGrid w:val="0"/>
                <w:color w:val="000000" w:themeColor="text1"/>
                <w:kern w:val="0"/>
                <w14:textFill>
                  <w14:solidFill>
                    <w14:schemeClr w14:val="tx1"/>
                  </w14:solidFill>
                </w14:textFill>
              </w:rPr>
            </w:pPr>
          </w:p>
        </w:tc>
        <w:tc>
          <w:tcPr>
            <w:tcW w:w="751" w:type="dxa"/>
            <w:tcBorders>
              <w:top w:val="single" w:color="auto" w:sz="4" w:space="0"/>
            </w:tcBorders>
            <w:vAlign w:val="center"/>
          </w:tcPr>
          <w:p>
            <w:pPr>
              <w:jc w:val="center"/>
              <w:rPr>
                <w:snapToGrid w:val="0"/>
                <w:color w:val="000000" w:themeColor="text1"/>
                <w:kern w:val="0"/>
                <w14:textFill>
                  <w14:solidFill>
                    <w14:schemeClr w14:val="tx1"/>
                  </w14:solidFill>
                </w14:textFill>
              </w:rPr>
            </w:pPr>
          </w:p>
        </w:tc>
      </w:tr>
    </w:tbl>
    <w:p>
      <w:pPr>
        <w:rPr>
          <w:snapToGrid w:val="0"/>
          <w:color w:val="000000" w:themeColor="text1"/>
          <w:kern w:val="0"/>
          <w14:textFill>
            <w14:solidFill>
              <w14:schemeClr w14:val="tx1"/>
            </w14:solidFill>
          </w14:textFill>
        </w:rPr>
      </w:pPr>
    </w:p>
    <w:p>
      <w:pPr>
        <w:rPr>
          <w:snapToGrid w:val="0"/>
          <w:color w:val="000000" w:themeColor="text1"/>
          <w:kern w:val="0"/>
          <w14:textFill>
            <w14:solidFill>
              <w14:schemeClr w14:val="tx1"/>
            </w14:solidFill>
          </w14:textFill>
        </w:rPr>
      </w:pPr>
      <w:r>
        <w:rPr>
          <w:snapToGrid w:val="0"/>
          <w:color w:val="000000" w:themeColor="text1"/>
          <w:kern w:val="0"/>
          <w14:textFill>
            <w14:solidFill>
              <w14:schemeClr w14:val="tx1"/>
            </w14:solidFill>
          </w14:textFill>
        </w:rPr>
        <w:t>注：1、价格应按“招标文件”中规定的货币单位填写。</w:t>
      </w:r>
    </w:p>
    <w:p>
      <w:pPr>
        <w:rPr>
          <w:snapToGrid w:val="0"/>
          <w:color w:val="000000" w:themeColor="text1"/>
          <w:kern w:val="0"/>
          <w14:textFill>
            <w14:solidFill>
              <w14:schemeClr w14:val="tx1"/>
            </w14:solidFill>
          </w14:textFill>
        </w:rPr>
      </w:pPr>
      <w:r>
        <w:rPr>
          <w:snapToGrid w:val="0"/>
          <w:color w:val="000000" w:themeColor="text1"/>
          <w:kern w:val="0"/>
          <w14:textFill>
            <w14:solidFill>
              <w14:schemeClr w14:val="tx1"/>
            </w14:solidFill>
          </w14:textFill>
        </w:rPr>
        <w:t xml:space="preserve">    2、“服务期限”指合同生效之日起，多少个日历天完成合同规定的全部要求。</w:t>
      </w:r>
    </w:p>
    <w:p>
      <w:pPr>
        <w:ind w:firstLine="420"/>
        <w:rPr>
          <w:color w:val="000000" w:themeColor="text1"/>
          <w14:textFill>
            <w14:solidFill>
              <w14:schemeClr w14:val="tx1"/>
            </w14:solidFill>
          </w14:textFill>
        </w:rPr>
      </w:pPr>
      <w:r>
        <w:rPr>
          <w:snapToGrid w:val="0"/>
          <w:color w:val="000000" w:themeColor="text1"/>
          <w:kern w:val="0"/>
          <w14:textFill>
            <w14:solidFill>
              <w14:schemeClr w14:val="tx1"/>
            </w14:solidFill>
          </w14:textFill>
        </w:rPr>
        <w:t>3、投标人如果需要对报价或其它内容加以说明，可在备注栏填写。</w:t>
      </w:r>
    </w:p>
    <w:p>
      <w:pPr>
        <w:ind w:firstLine="420"/>
        <w:rPr>
          <w:color w:val="000000" w:themeColor="text1"/>
          <w14:textFill>
            <w14:solidFill>
              <w14:schemeClr w14:val="tx1"/>
            </w14:solidFill>
          </w14:textFill>
        </w:rPr>
      </w:pPr>
      <w:r>
        <w:rPr>
          <w:color w:val="000000" w:themeColor="text1"/>
          <w14:textFill>
            <w14:solidFill>
              <w14:schemeClr w14:val="tx1"/>
            </w14:solidFill>
          </w14:textFill>
        </w:rPr>
        <w:t>4、</w:t>
      </w:r>
      <w:r>
        <w:rPr>
          <w:color w:val="000000" w:themeColor="text1"/>
          <w:szCs w:val="21"/>
          <w14:textFill>
            <w14:solidFill>
              <w14:schemeClr w14:val="tx1"/>
            </w14:solidFill>
          </w14:textFill>
        </w:rPr>
        <w:t>开标一览表和投标文件（含正本和副本）应分开独立密封包装。</w:t>
      </w:r>
    </w:p>
    <w:p>
      <w:pPr>
        <w:ind w:firstLine="420"/>
        <w:rPr>
          <w:color w:val="000000" w:themeColor="text1"/>
          <w14:textFill>
            <w14:solidFill>
              <w14:schemeClr w14:val="tx1"/>
            </w14:solidFill>
          </w14:textFill>
        </w:rPr>
      </w:pPr>
    </w:p>
    <w:p>
      <w:pPr>
        <w:ind w:firstLine="420"/>
        <w:rPr>
          <w:color w:val="000000" w:themeColor="text1"/>
          <w14:textFill>
            <w14:solidFill>
              <w14:schemeClr w14:val="tx1"/>
            </w14:solidFill>
          </w14:textFill>
        </w:rPr>
      </w:pPr>
    </w:p>
    <w:p>
      <w:pPr>
        <w:ind w:right="2100" w:rightChars="1000"/>
        <w:jc w:val="right"/>
        <w:rPr>
          <w:snapToGrid w:val="0"/>
          <w:color w:val="000000" w:themeColor="text1"/>
          <w:kern w:val="0"/>
          <w14:textFill>
            <w14:solidFill>
              <w14:schemeClr w14:val="tx1"/>
            </w14:solidFill>
          </w14:textFill>
        </w:rPr>
      </w:pPr>
      <w:r>
        <w:rPr>
          <w:snapToGrid w:val="0"/>
          <w:color w:val="000000" w:themeColor="text1"/>
          <w:kern w:val="0"/>
          <w14:textFill>
            <w14:solidFill>
              <w14:schemeClr w14:val="tx1"/>
            </w14:solidFill>
          </w14:textFill>
        </w:rPr>
        <w:t>法定代表人或被授权人签名：</w:t>
      </w:r>
    </w:p>
    <w:p>
      <w:pPr>
        <w:ind w:right="2100" w:rightChars="1000"/>
        <w:jc w:val="right"/>
        <w:rPr>
          <w:snapToGrid w:val="0"/>
          <w:color w:val="000000" w:themeColor="text1"/>
          <w:kern w:val="0"/>
          <w14:textFill>
            <w14:solidFill>
              <w14:schemeClr w14:val="tx1"/>
            </w14:solidFill>
          </w14:textFill>
        </w:rPr>
      </w:pPr>
    </w:p>
    <w:p>
      <w:pPr>
        <w:ind w:right="2100" w:rightChars="1000"/>
        <w:jc w:val="right"/>
        <w:rPr>
          <w:snapToGrid w:val="0"/>
          <w:color w:val="000000" w:themeColor="text1"/>
          <w:kern w:val="0"/>
          <w14:textFill>
            <w14:solidFill>
              <w14:schemeClr w14:val="tx1"/>
            </w14:solidFill>
          </w14:textFill>
        </w:rPr>
      </w:pPr>
      <w:r>
        <w:rPr>
          <w:snapToGrid w:val="0"/>
          <w:color w:val="000000" w:themeColor="text1"/>
          <w:kern w:val="0"/>
          <w14:textFill>
            <w14:solidFill>
              <w14:schemeClr w14:val="tx1"/>
            </w14:solidFill>
          </w14:textFill>
        </w:rPr>
        <w:t>投标单位公章：</w:t>
      </w:r>
    </w:p>
    <w:p>
      <w:pPr>
        <w:ind w:right="2100" w:rightChars="1000"/>
        <w:jc w:val="right"/>
        <w:rPr>
          <w:snapToGrid w:val="0"/>
          <w:color w:val="000000" w:themeColor="text1"/>
          <w:kern w:val="0"/>
          <w14:textFill>
            <w14:solidFill>
              <w14:schemeClr w14:val="tx1"/>
            </w14:solidFill>
          </w14:textFill>
        </w:rPr>
      </w:pPr>
      <w:r>
        <w:rPr>
          <w:snapToGrid w:val="0"/>
          <w:color w:val="000000" w:themeColor="text1"/>
          <w:kern w:val="0"/>
          <w14:textFill>
            <w14:solidFill>
              <w14:schemeClr w14:val="tx1"/>
            </w14:solidFill>
          </w14:textFill>
        </w:rPr>
        <w:br w:type="page"/>
      </w:r>
    </w:p>
    <w:p>
      <w:pPr>
        <w:ind w:right="1680" w:rightChars="800"/>
        <w:jc w:val="center"/>
        <w:outlineLvl w:val="2"/>
        <w:rPr>
          <w:color w:val="000000" w:themeColor="text1"/>
          <w14:textFill>
            <w14:solidFill>
              <w14:schemeClr w14:val="tx1"/>
            </w14:solidFill>
          </w14:textFill>
        </w:rPr>
      </w:pPr>
      <w:r>
        <w:rPr>
          <w:b/>
          <w:bCs/>
          <w:color w:val="000000" w:themeColor="text1"/>
          <w:sz w:val="32"/>
          <w:szCs w:val="32"/>
          <w14:textFill>
            <w14:solidFill>
              <w14:schemeClr w14:val="tx1"/>
            </w14:solidFill>
          </w14:textFill>
        </w:rPr>
        <w:t>二、法定代表人资格证明书</w:t>
      </w:r>
    </w:p>
    <w:p>
      <w:pPr>
        <w:spacing w:line="360" w:lineRule="auto"/>
        <w:rPr>
          <w:bCs/>
          <w:color w:val="000000" w:themeColor="text1"/>
          <w:sz w:val="24"/>
          <w14:textFill>
            <w14:solidFill>
              <w14:schemeClr w14:val="tx1"/>
            </w14:solidFill>
          </w14:textFill>
        </w:rPr>
      </w:pPr>
    </w:p>
    <w:p>
      <w:pPr>
        <w:snapToGrid w:val="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单位名称：</w:t>
      </w:r>
    </w:p>
    <w:p>
      <w:pPr>
        <w:snapToGrid w:val="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地址：</w:t>
      </w:r>
    </w:p>
    <w:p>
      <w:pPr>
        <w:snapToGrid w:val="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姓名：性别：年龄：职务：</w:t>
      </w:r>
    </w:p>
    <w:p>
      <w:pPr>
        <w:snapToGrid w:val="0"/>
        <w:ind w:firstLine="1080" w:firstLineChars="450"/>
        <w:rPr>
          <w:bCs/>
          <w:color w:val="000000" w:themeColor="text1"/>
          <w:sz w:val="24"/>
          <w:u w:val="single"/>
          <w14:textFill>
            <w14:solidFill>
              <w14:schemeClr w14:val="tx1"/>
            </w14:solidFill>
          </w14:textFill>
        </w:rPr>
      </w:pPr>
    </w:p>
    <w:p>
      <w:pPr>
        <w:snapToGrid w:val="0"/>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系的法定代表人。为维护的项目，签署上述项目的投标文件、进行合同投标、签署合同和处理与之有关的一切事务。</w:t>
      </w:r>
    </w:p>
    <w:p>
      <w:pPr>
        <w:snapToGrid w:val="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特此证明</w:t>
      </w:r>
    </w:p>
    <w:p>
      <w:pPr>
        <w:snapToGrid w:val="0"/>
        <w:rPr>
          <w:color w:val="000000" w:themeColor="text1"/>
          <w:sz w:val="24"/>
          <w14:textFill>
            <w14:solidFill>
              <w14:schemeClr w14:val="tx1"/>
            </w14:solidFill>
          </w14:textFill>
        </w:rPr>
      </w:pPr>
    </w:p>
    <w:p>
      <w:pPr>
        <w:snapToGrid w:val="0"/>
        <w:ind w:right="1273" w:rightChars="606" w:firstLine="5040" w:firstLineChars="210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供应商（盖章）：</w:t>
      </w:r>
    </w:p>
    <w:p>
      <w:pPr>
        <w:snapToGrid w:val="0"/>
        <w:ind w:right="-1" w:firstLine="4920" w:firstLineChars="2050"/>
        <w:jc w:val="right"/>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日期：年</w:t>
      </w:r>
      <w:r>
        <w:rPr>
          <w:rFonts w:hint="eastAsia"/>
          <w:bCs/>
          <w:color w:val="000000" w:themeColor="text1"/>
          <w:sz w:val="24"/>
          <w14:textFill>
            <w14:solidFill>
              <w14:schemeClr w14:val="tx1"/>
            </w14:solidFill>
          </w14:textFill>
        </w:rPr>
        <w:t xml:space="preserve"> </w:t>
      </w:r>
      <w:r>
        <w:rPr>
          <w:bCs/>
          <w:color w:val="000000" w:themeColor="text1"/>
          <w:sz w:val="24"/>
          <w14:textFill>
            <w14:solidFill>
              <w14:schemeClr w14:val="tx1"/>
            </w14:solidFill>
          </w14:textFill>
        </w:rPr>
        <w:t>月</w:t>
      </w:r>
      <w:r>
        <w:rPr>
          <w:rFonts w:hint="eastAsia"/>
          <w:bCs/>
          <w:color w:val="000000" w:themeColor="text1"/>
          <w:sz w:val="24"/>
          <w14:textFill>
            <w14:solidFill>
              <w14:schemeClr w14:val="tx1"/>
            </w14:solidFill>
          </w14:textFill>
        </w:rPr>
        <w:t xml:space="preserve"> </w:t>
      </w:r>
      <w:r>
        <w:rPr>
          <w:bCs/>
          <w:color w:val="000000" w:themeColor="text1"/>
          <w:sz w:val="24"/>
          <w14:textFill>
            <w14:solidFill>
              <w14:schemeClr w14:val="tx1"/>
            </w14:solidFill>
          </w14:textFill>
        </w:rPr>
        <w:t>日</w:t>
      </w:r>
    </w:p>
    <w:p>
      <w:pPr>
        <w:snapToGrid w:val="0"/>
        <w:ind w:firstLine="4080" w:firstLineChars="1700"/>
        <w:rPr>
          <w:bCs/>
          <w:color w:val="000000" w:themeColor="text1"/>
          <w:sz w:val="24"/>
          <w14:textFill>
            <w14:solidFill>
              <w14:schemeClr w14:val="tx1"/>
            </w14:solidFill>
          </w14:textFill>
        </w:rPr>
      </w:pPr>
    </w:p>
    <w:p>
      <w:pPr>
        <w:snapToGrid w:val="0"/>
        <w:ind w:left="735" w:hanging="735" w:hangingChars="35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说明：1. 本证明书要求投标人提供</w:t>
      </w:r>
      <w:r>
        <w:rPr>
          <w:b/>
          <w:bCs/>
          <w:color w:val="000000" w:themeColor="text1"/>
          <w:szCs w:val="21"/>
          <w14:textFill>
            <w14:solidFill>
              <w14:schemeClr w14:val="tx1"/>
            </w14:solidFill>
          </w14:textFill>
        </w:rPr>
        <w:t>加盖公章</w:t>
      </w:r>
      <w:r>
        <w:rPr>
          <w:bCs/>
          <w:color w:val="000000" w:themeColor="text1"/>
          <w:szCs w:val="21"/>
          <w14:textFill>
            <w14:solidFill>
              <w14:schemeClr w14:val="tx1"/>
            </w14:solidFill>
          </w14:textFill>
        </w:rPr>
        <w:t>后的原件方为有效。</w:t>
      </w:r>
    </w:p>
    <w:p>
      <w:pPr>
        <w:snapToGrid w:val="0"/>
        <w:ind w:firstLine="630" w:firstLineChars="3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2. 须提供法定代表人的身份证复印件（附后）。</w:t>
      </w:r>
    </w:p>
    <w:p>
      <w:pPr>
        <w:spacing w:line="360" w:lineRule="auto"/>
        <w:rPr>
          <w:bCs/>
          <w:color w:val="000000" w:themeColor="text1"/>
          <w:sz w:val="24"/>
          <w14:textFill>
            <w14:solidFill>
              <w14:schemeClr w14:val="tx1"/>
            </w14:solidFill>
          </w14:textFill>
        </w:rPr>
      </w:pPr>
    </w:p>
    <w:p>
      <w:pPr>
        <w:pStyle w:val="3"/>
        <w:spacing w:before="120" w:after="120"/>
        <w:jc w:val="center"/>
        <w:rPr>
          <w:b w:val="0"/>
          <w:color w:val="000000" w:themeColor="text1"/>
          <w:sz w:val="28"/>
          <w14:textFill>
            <w14:solidFill>
              <w14:schemeClr w14:val="tx1"/>
            </w14:solidFill>
          </w14:textFill>
        </w:rPr>
      </w:pPr>
      <w:r>
        <w:rPr>
          <w:color w:val="000000" w:themeColor="text1"/>
          <w14:textFill>
            <w14:solidFill>
              <w14:schemeClr w14:val="tx1"/>
            </w14:solidFill>
          </w14:textFill>
        </w:rPr>
        <w:t>三、法定代表人授权书</w:t>
      </w:r>
    </w:p>
    <w:p>
      <w:pPr>
        <w:rPr>
          <w:bCs/>
          <w:color w:val="000000" w:themeColor="text1"/>
          <w:sz w:val="24"/>
          <w14:textFill>
            <w14:solidFill>
              <w14:schemeClr w14:val="tx1"/>
            </w14:solidFill>
          </w14:textFill>
        </w:rPr>
      </w:pPr>
    </w:p>
    <w:p>
      <w:pPr>
        <w:rPr>
          <w:bCs/>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rFonts w:hint="eastAsia"/>
          <w:bCs/>
          <w:color w:val="000000" w:themeColor="text1"/>
          <w:sz w:val="24"/>
          <w14:textFill>
            <w14:solidFill>
              <w14:schemeClr w14:val="tx1"/>
            </w14:solidFill>
          </w14:textFill>
        </w:rPr>
        <w:t>哈尔滨工业大学（深圳）</w:t>
      </w:r>
      <w:r>
        <w:rPr>
          <w:bCs/>
          <w:color w:val="000000" w:themeColor="text1"/>
          <w:sz w:val="24"/>
          <w14:textFill>
            <w14:solidFill>
              <w14:schemeClr w14:val="tx1"/>
            </w14:solidFill>
          </w14:textFill>
        </w:rPr>
        <w:t>：</w:t>
      </w:r>
    </w:p>
    <w:p>
      <w:pPr>
        <w:rPr>
          <w:bCs/>
          <w:color w:val="000000" w:themeColor="text1"/>
          <w:sz w:val="24"/>
          <w14:textFill>
            <w14:solidFill>
              <w14:schemeClr w14:val="tx1"/>
            </w14:solidFill>
          </w14:textFill>
        </w:rPr>
      </w:pPr>
    </w:p>
    <w:p>
      <w:pPr>
        <w:rPr>
          <w:bCs/>
          <w:color w:val="000000" w:themeColor="text1"/>
          <w:sz w:val="24"/>
          <w14:textFill>
            <w14:solidFill>
              <w14:schemeClr w14:val="tx1"/>
            </w14:solidFill>
          </w14:textFill>
        </w:rPr>
      </w:pPr>
      <w:r>
        <w:rPr>
          <w:bCs/>
          <w:color w:val="000000" w:themeColor="text1"/>
          <w:sz w:val="24"/>
          <w:u w:val="single"/>
          <w14:textFill>
            <w14:solidFill>
              <w14:schemeClr w14:val="tx1"/>
            </w14:solidFill>
          </w14:textFill>
        </w:rPr>
        <w:t>（投标人全称）</w:t>
      </w:r>
      <w:r>
        <w:rPr>
          <w:bCs/>
          <w:color w:val="000000" w:themeColor="text1"/>
          <w:sz w:val="24"/>
          <w14:textFill>
            <w14:solidFill>
              <w14:schemeClr w14:val="tx1"/>
            </w14:solidFill>
          </w14:textFill>
        </w:rPr>
        <w:t>法定代表人</w:t>
      </w:r>
      <w:r>
        <w:rPr>
          <w:bCs/>
          <w:color w:val="000000" w:themeColor="text1"/>
          <w:sz w:val="24"/>
          <w:u w:val="single"/>
          <w14:textFill>
            <w14:solidFill>
              <w14:schemeClr w14:val="tx1"/>
            </w14:solidFill>
          </w14:textFill>
        </w:rPr>
        <w:t>（姓名、职务）</w:t>
      </w:r>
      <w:r>
        <w:rPr>
          <w:bCs/>
          <w:color w:val="000000" w:themeColor="text1"/>
          <w:sz w:val="24"/>
          <w14:textFill>
            <w14:solidFill>
              <w14:schemeClr w14:val="tx1"/>
            </w14:solidFill>
          </w14:textFill>
        </w:rPr>
        <w:t>授权</w:t>
      </w:r>
      <w:r>
        <w:rPr>
          <w:bCs/>
          <w:color w:val="000000" w:themeColor="text1"/>
          <w:sz w:val="24"/>
          <w:u w:val="single"/>
          <w14:textFill>
            <w14:solidFill>
              <w14:schemeClr w14:val="tx1"/>
            </w14:solidFill>
          </w14:textFill>
        </w:rPr>
        <w:t>（被授权代表姓名、职务）</w:t>
      </w:r>
      <w:r>
        <w:rPr>
          <w:bCs/>
          <w:color w:val="000000" w:themeColor="text1"/>
          <w:sz w:val="24"/>
          <w14:textFill>
            <w14:solidFill>
              <w14:schemeClr w14:val="tx1"/>
            </w14:solidFill>
          </w14:textFill>
        </w:rPr>
        <w:t>为本公司合法代理人，参加贵</w:t>
      </w:r>
      <w:r>
        <w:rPr>
          <w:rFonts w:hint="eastAsia"/>
          <w:bCs/>
          <w:color w:val="000000" w:themeColor="text1"/>
          <w:sz w:val="24"/>
          <w14:textFill>
            <w14:solidFill>
              <w14:schemeClr w14:val="tx1"/>
            </w14:solidFill>
          </w14:textFill>
        </w:rPr>
        <w:t>处</w:t>
      </w:r>
      <w:r>
        <w:rPr>
          <w:bCs/>
          <w:color w:val="000000" w:themeColor="text1"/>
          <w:sz w:val="24"/>
          <w14:textFill>
            <w14:solidFill>
              <w14:schemeClr w14:val="tx1"/>
            </w14:solidFill>
          </w14:textFill>
        </w:rPr>
        <w:t>组织的</w:t>
      </w:r>
      <w:r>
        <w:rPr>
          <w:bCs/>
          <w:color w:val="000000" w:themeColor="text1"/>
          <w:sz w:val="24"/>
          <w:u w:val="single"/>
          <w14:textFill>
            <w14:solidFill>
              <w14:schemeClr w14:val="tx1"/>
            </w14:solidFill>
          </w14:textFill>
        </w:rPr>
        <w:t xml:space="preserve">   (项目名称)（项目编号）</w:t>
      </w:r>
      <w:r>
        <w:rPr>
          <w:bCs/>
          <w:color w:val="000000" w:themeColor="text1"/>
          <w:sz w:val="24"/>
          <w14:textFill>
            <w14:solidFill>
              <w14:schemeClr w14:val="tx1"/>
            </w14:solidFill>
          </w14:textFill>
        </w:rPr>
        <w:t>项目的招标投标活动，代表本公司处理招标投标活动中的一切事宜。包括但不限于：投标、参与开标、谈判、签约等。投标人代表在投标过程中所签署的一切文件和处理与之有关的一切事务，本公司均予以认可并对此承担责任。投标人代表无转委权。特此授权。</w:t>
      </w:r>
    </w:p>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本授权书于</w:t>
      </w:r>
      <w:r>
        <w:rPr>
          <w:rFonts w:hint="eastAsia"/>
          <w:bCs/>
          <w:color w:val="000000" w:themeColor="text1"/>
          <w:sz w:val="24"/>
          <w14:textFill>
            <w14:solidFill>
              <w14:schemeClr w14:val="tx1"/>
            </w14:solidFill>
          </w14:textFill>
        </w:rPr>
        <w:t xml:space="preserve"> </w:t>
      </w:r>
      <w:r>
        <w:rPr>
          <w:bCs/>
          <w:color w:val="000000" w:themeColor="text1"/>
          <w:sz w:val="24"/>
          <w14:textFill>
            <w14:solidFill>
              <w14:schemeClr w14:val="tx1"/>
            </w14:solidFill>
          </w14:textFill>
        </w:rPr>
        <w:t>年</w:t>
      </w:r>
      <w:r>
        <w:rPr>
          <w:rFonts w:hint="eastAsia"/>
          <w:bCs/>
          <w:color w:val="000000" w:themeColor="text1"/>
          <w:sz w:val="24"/>
          <w14:textFill>
            <w14:solidFill>
              <w14:schemeClr w14:val="tx1"/>
            </w14:solidFill>
          </w14:textFill>
        </w:rPr>
        <w:t xml:space="preserve"> </w:t>
      </w:r>
      <w:r>
        <w:rPr>
          <w:bCs/>
          <w:color w:val="000000" w:themeColor="text1"/>
          <w:sz w:val="24"/>
          <w14:textFill>
            <w14:solidFill>
              <w14:schemeClr w14:val="tx1"/>
            </w14:solidFill>
          </w14:textFill>
        </w:rPr>
        <w:t>月</w:t>
      </w:r>
      <w:r>
        <w:rPr>
          <w:rFonts w:hint="eastAsia"/>
          <w:bCs/>
          <w:color w:val="000000" w:themeColor="text1"/>
          <w:sz w:val="24"/>
          <w14:textFill>
            <w14:solidFill>
              <w14:schemeClr w14:val="tx1"/>
            </w14:solidFill>
          </w14:textFill>
        </w:rPr>
        <w:t xml:space="preserve"> </w:t>
      </w:r>
      <w:r>
        <w:rPr>
          <w:bCs/>
          <w:color w:val="000000" w:themeColor="text1"/>
          <w:sz w:val="24"/>
          <w14:textFill>
            <w14:solidFill>
              <w14:schemeClr w14:val="tx1"/>
            </w14:solidFill>
          </w14:textFill>
        </w:rPr>
        <w:t>日签字生效，特此声明。</w:t>
      </w:r>
    </w:p>
    <w:p>
      <w:pPr>
        <w:rPr>
          <w:bCs/>
          <w:color w:val="000000" w:themeColor="text1"/>
          <w:sz w:val="24"/>
          <w14:textFill>
            <w14:solidFill>
              <w14:schemeClr w14:val="tx1"/>
            </w14:solidFill>
          </w14:textFill>
        </w:rPr>
      </w:pPr>
    </w:p>
    <w:p>
      <w:pPr>
        <w:ind w:firstLine="120" w:firstLineChars="50"/>
        <w:rPr>
          <w:bCs/>
          <w:color w:val="000000" w:themeColor="text1"/>
          <w:sz w:val="24"/>
          <w:u w:val="single"/>
          <w14:textFill>
            <w14:solidFill>
              <w14:schemeClr w14:val="tx1"/>
            </w14:solidFill>
          </w14:textFill>
        </w:rPr>
      </w:pPr>
      <w:r>
        <w:rPr>
          <w:bCs/>
          <w:color w:val="000000" w:themeColor="text1"/>
          <w:sz w:val="24"/>
          <w14:textFill>
            <w14:solidFill>
              <w14:schemeClr w14:val="tx1"/>
            </w14:solidFill>
          </w14:textFill>
        </w:rPr>
        <w:t>被授权人：职务：</w:t>
      </w:r>
    </w:p>
    <w:p>
      <w:pPr>
        <w:ind w:firstLine="120" w:firstLineChars="50"/>
        <w:rPr>
          <w:bCs/>
          <w:color w:val="000000" w:themeColor="text1"/>
          <w:sz w:val="24"/>
          <w:u w:val="single"/>
          <w14:textFill>
            <w14:solidFill>
              <w14:schemeClr w14:val="tx1"/>
            </w14:solidFill>
          </w14:textFill>
        </w:rPr>
      </w:pPr>
      <w:r>
        <w:rPr>
          <w:bCs/>
          <w:color w:val="000000" w:themeColor="text1"/>
          <w:sz w:val="24"/>
          <w14:textFill>
            <w14:solidFill>
              <w14:schemeClr w14:val="tx1"/>
            </w14:solidFill>
          </w14:textFill>
        </w:rPr>
        <w:t>联系电话：手机：</w:t>
      </w:r>
    </w:p>
    <w:p>
      <w:pPr>
        <w:ind w:firstLine="120" w:firstLineChars="5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身份证号码：</w:t>
      </w:r>
    </w:p>
    <w:p>
      <w:pPr>
        <w:ind w:firstLine="120" w:firstLineChars="50"/>
        <w:rPr>
          <w:bCs/>
          <w:color w:val="000000" w:themeColor="text1"/>
          <w:sz w:val="24"/>
          <w:u w:val="single"/>
          <w14:textFill>
            <w14:solidFill>
              <w14:schemeClr w14:val="tx1"/>
            </w14:solidFill>
          </w14:textFill>
        </w:rPr>
      </w:pPr>
      <w:r>
        <w:rPr>
          <w:bCs/>
          <w:color w:val="000000" w:themeColor="text1"/>
          <w:sz w:val="24"/>
          <w14:textFill>
            <w14:solidFill>
              <w14:schemeClr w14:val="tx1"/>
            </w14:solidFill>
          </w14:textFill>
        </w:rPr>
        <w:t>投标人（盖章）：</w:t>
      </w:r>
    </w:p>
    <w:p>
      <w:pPr>
        <w:ind w:firstLine="120" w:firstLineChars="50"/>
        <w:rPr>
          <w:bCs/>
          <w:color w:val="000000" w:themeColor="text1"/>
          <w:sz w:val="24"/>
          <w:u w:val="single"/>
          <w14:textFill>
            <w14:solidFill>
              <w14:schemeClr w14:val="tx1"/>
            </w14:solidFill>
          </w14:textFill>
        </w:rPr>
      </w:pPr>
      <w:r>
        <w:rPr>
          <w:bCs/>
          <w:color w:val="000000" w:themeColor="text1"/>
          <w:sz w:val="24"/>
          <w14:textFill>
            <w14:solidFill>
              <w14:schemeClr w14:val="tx1"/>
            </w14:solidFill>
          </w14:textFill>
        </w:rPr>
        <w:t>法定代表人（签名）：</w:t>
      </w:r>
    </w:p>
    <w:p>
      <w:pPr>
        <w:ind w:firstLine="120" w:firstLineChars="50"/>
        <w:rPr>
          <w:bCs/>
          <w:color w:val="000000" w:themeColor="text1"/>
          <w:sz w:val="24"/>
          <w:u w:val="single"/>
          <w14:textFill>
            <w14:solidFill>
              <w14:schemeClr w14:val="tx1"/>
            </w14:solidFill>
          </w14:textFill>
        </w:rPr>
      </w:pPr>
      <w:r>
        <w:rPr>
          <w:bCs/>
          <w:color w:val="000000" w:themeColor="text1"/>
          <w:sz w:val="24"/>
          <w14:textFill>
            <w14:solidFill>
              <w14:schemeClr w14:val="tx1"/>
            </w14:solidFill>
          </w14:textFill>
        </w:rPr>
        <w:t>被授权人（签名）：</w:t>
      </w:r>
    </w:p>
    <w:p>
      <w:pPr>
        <w:rPr>
          <w:bCs/>
          <w:color w:val="000000" w:themeColor="text1"/>
          <w:sz w:val="24"/>
          <w14:textFill>
            <w14:solidFill>
              <w14:schemeClr w14:val="tx1"/>
            </w14:solidFill>
          </w14:textFill>
        </w:rPr>
      </w:pPr>
    </w:p>
    <w:p>
      <w:pP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说明：1.本授权委托书要求投标人提供有</w:t>
      </w:r>
      <w:r>
        <w:rPr>
          <w:b/>
          <w:bCs/>
          <w:color w:val="000000" w:themeColor="text1"/>
          <w:szCs w:val="21"/>
          <w14:textFill>
            <w14:solidFill>
              <w14:schemeClr w14:val="tx1"/>
            </w14:solidFill>
          </w14:textFill>
        </w:rPr>
        <w:t>代理人签字、法定代表人的签字（或盖私章）和加盖公章</w:t>
      </w:r>
      <w:r>
        <w:rPr>
          <w:bCs/>
          <w:color w:val="000000" w:themeColor="text1"/>
          <w:szCs w:val="21"/>
          <w14:textFill>
            <w14:solidFill>
              <w14:schemeClr w14:val="tx1"/>
            </w14:solidFill>
          </w14:textFill>
        </w:rPr>
        <w:t>后的原件方为有效；</w:t>
      </w:r>
    </w:p>
    <w:p>
      <w:pPr>
        <w:ind w:left="420" w:right="2100" w:rightChars="1000" w:firstLine="210" w:firstLineChars="100"/>
        <w:jc w:val="left"/>
        <w:rPr>
          <w:snapToGrid w:val="0"/>
          <w:color w:val="000000" w:themeColor="text1"/>
          <w:kern w:val="0"/>
          <w14:textFill>
            <w14:solidFill>
              <w14:schemeClr w14:val="tx1"/>
            </w14:solidFill>
          </w14:textFill>
        </w:rPr>
      </w:pPr>
      <w:r>
        <w:rPr>
          <w:bCs/>
          <w:color w:val="000000" w:themeColor="text1"/>
          <w:szCs w:val="21"/>
          <w14:textFill>
            <w14:solidFill>
              <w14:schemeClr w14:val="tx1"/>
            </w14:solidFill>
          </w14:textFill>
        </w:rPr>
        <w:t>2.提供代理人的身份证复印件（附后）。</w:t>
      </w:r>
    </w:p>
    <w:p>
      <w:pPr>
        <w:widowControl/>
        <w:adjustRightInd w:val="0"/>
        <w:snapToGrid w:val="0"/>
        <w:spacing w:before="240" w:after="240" w:line="276" w:lineRule="auto"/>
        <w:jc w:val="center"/>
        <w:rPr>
          <w:b/>
          <w:bCs/>
          <w:color w:val="000000" w:themeColor="text1"/>
          <w:sz w:val="30"/>
          <w:szCs w:val="30"/>
          <w14:textFill>
            <w14:solidFill>
              <w14:schemeClr w14:val="tx1"/>
            </w14:solidFill>
          </w14:textFill>
        </w:rPr>
      </w:pPr>
    </w:p>
    <w:p>
      <w:pPr>
        <w:pStyle w:val="38"/>
        <w:rPr>
          <w:color w:val="000000" w:themeColor="text1"/>
          <w14:textFill>
            <w14:solidFill>
              <w14:schemeClr w14:val="tx1"/>
            </w14:solidFill>
          </w14:textFill>
        </w:rPr>
      </w:pPr>
    </w:p>
    <w:p>
      <w:pPr>
        <w:pStyle w:val="38"/>
        <w:jc w:val="both"/>
        <w:rPr>
          <w:color w:val="000000" w:themeColor="text1"/>
          <w14:textFill>
            <w14:solidFill>
              <w14:schemeClr w14:val="tx1"/>
            </w14:solidFill>
          </w14:textFill>
        </w:rPr>
      </w:pPr>
    </w:p>
    <w:p>
      <w:pPr>
        <w:jc w:val="center"/>
        <w:rPr>
          <w:rFonts w:ascii="宋体" w:hAnsi="宋体"/>
          <w:color w:val="000000" w:themeColor="text1"/>
          <w:kern w:val="0"/>
          <w:sz w:val="52"/>
          <w:szCs w:val="52"/>
          <w14:textFill>
            <w14:solidFill>
              <w14:schemeClr w14:val="tx1"/>
            </w14:solidFill>
          </w14:textFill>
        </w:rPr>
      </w:pPr>
      <w:r>
        <w:rPr>
          <w:rFonts w:ascii="宋体" w:hAnsi="宋体"/>
          <w:color w:val="000000" w:themeColor="text1"/>
          <w:kern w:val="0"/>
          <w:sz w:val="52"/>
          <w:szCs w:val="52"/>
          <w14:textFill>
            <w14:solidFill>
              <w14:schemeClr w14:val="tx1"/>
            </w14:solidFill>
          </w14:textFill>
        </w:rPr>
        <w:t>HITSZ-EIC-IM01</w:t>
      </w:r>
    </w:p>
    <w:p>
      <w:pPr>
        <w:jc w:val="center"/>
        <w:rPr>
          <w:color w:val="000000" w:themeColor="text1"/>
          <w:kern w:val="0"/>
          <w:sz w:val="52"/>
          <w:szCs w:val="52"/>
          <w14:textFill>
            <w14:solidFill>
              <w14:schemeClr w14:val="tx1"/>
            </w14:solidFill>
          </w14:textFill>
        </w:rPr>
      </w:pPr>
      <w:r>
        <w:rPr>
          <w:rFonts w:hint="eastAsia"/>
          <w:color w:val="000000" w:themeColor="text1"/>
          <w:kern w:val="0"/>
          <w:sz w:val="52"/>
          <w:szCs w:val="52"/>
          <w14:textFill>
            <w14:solidFill>
              <w14:schemeClr w14:val="tx1"/>
            </w14:solidFill>
          </w14:textFill>
        </w:rPr>
        <w:t>哈尔滨工业大学（深圳）实验与创新实践教育中心网站建设</w:t>
      </w:r>
    </w:p>
    <w:p>
      <w:pPr>
        <w:jc w:val="center"/>
        <w:rPr>
          <w:color w:val="000000" w:themeColor="text1"/>
          <w:sz w:val="44"/>
          <w:szCs w:val="44"/>
          <w14:textFill>
            <w14:solidFill>
              <w14:schemeClr w14:val="tx1"/>
            </w14:solidFill>
          </w14:textFill>
        </w:rPr>
      </w:pPr>
      <w:r>
        <w:rPr>
          <w:color w:val="000000" w:themeColor="text1"/>
          <w:sz w:val="44"/>
          <w:szCs w:val="44"/>
          <w14:textFill>
            <w14:solidFill>
              <w14:schemeClr w14:val="tx1"/>
            </w14:solidFill>
          </w14:textFill>
        </w:rPr>
        <w:t>（投标文件）</w:t>
      </w:r>
    </w:p>
    <w:p>
      <w:pPr>
        <w:jc w:val="center"/>
        <w:rPr>
          <w:color w:val="000000" w:themeColor="text1"/>
          <w:sz w:val="44"/>
          <w:szCs w:val="44"/>
          <w14:textFill>
            <w14:solidFill>
              <w14:schemeClr w14:val="tx1"/>
            </w14:solidFill>
          </w14:textFill>
        </w:rPr>
      </w:pPr>
    </w:p>
    <w:p>
      <w:pPr>
        <w:jc w:val="center"/>
        <w:rPr>
          <w:color w:val="000000" w:themeColor="text1"/>
          <w:sz w:val="44"/>
          <w:szCs w:val="44"/>
          <w14:textFill>
            <w14:solidFill>
              <w14:schemeClr w14:val="tx1"/>
            </w14:solidFill>
          </w14:textFill>
        </w:rPr>
      </w:pPr>
    </w:p>
    <w:p>
      <w:pPr>
        <w:jc w:val="center"/>
        <w:rPr>
          <w:color w:val="000000" w:themeColor="text1"/>
          <w:sz w:val="44"/>
          <w:szCs w:val="44"/>
          <w14:textFill>
            <w14:solidFill>
              <w14:schemeClr w14:val="tx1"/>
            </w14:solidFill>
          </w14:textFill>
        </w:rPr>
      </w:pPr>
    </w:p>
    <w:p>
      <w:pPr>
        <w:jc w:val="center"/>
        <w:rPr>
          <w:color w:val="000000" w:themeColor="text1"/>
          <w:sz w:val="44"/>
          <w:szCs w:val="44"/>
          <w14:textFill>
            <w14:solidFill>
              <w14:schemeClr w14:val="tx1"/>
            </w14:solidFill>
          </w14:textFill>
        </w:rPr>
      </w:pPr>
    </w:p>
    <w:p>
      <w:pPr>
        <w:rPr>
          <w:color w:val="000000" w:themeColor="text1"/>
          <w:sz w:val="44"/>
          <w:szCs w:val="44"/>
          <w14:textFill>
            <w14:solidFill>
              <w14:schemeClr w14:val="tx1"/>
            </w14:solidFill>
          </w14:textFill>
        </w:rPr>
      </w:pPr>
    </w:p>
    <w:p>
      <w:pPr>
        <w:spacing w:line="480" w:lineRule="auto"/>
        <w:ind w:firstLine="1400" w:firstLineChars="500"/>
        <w:rPr>
          <w:color w:val="000000" w:themeColor="text1"/>
          <w:sz w:val="28"/>
          <w:szCs w:val="28"/>
          <w:u w:val="single"/>
          <w14:textFill>
            <w14:solidFill>
              <w14:schemeClr w14:val="tx1"/>
            </w14:solidFill>
          </w14:textFill>
        </w:rPr>
      </w:pPr>
      <w:r>
        <w:rPr>
          <w:color w:val="000000" w:themeColor="text1"/>
          <w:sz w:val="28"/>
          <w:szCs w:val="28"/>
          <w14:textFill>
            <w14:solidFill>
              <w14:schemeClr w14:val="tx1"/>
            </w14:solidFill>
          </w14:textFill>
        </w:rPr>
        <w:t>项目编号：_____________________________</w:t>
      </w:r>
    </w:p>
    <w:p>
      <w:pPr>
        <w:spacing w:line="480" w:lineRule="auto"/>
        <w:ind w:firstLine="1400" w:firstLineChars="500"/>
        <w:rPr>
          <w:color w:val="000000" w:themeColor="text1"/>
          <w:sz w:val="28"/>
          <w:szCs w:val="28"/>
          <w:u w:val="single"/>
          <w14:textFill>
            <w14:solidFill>
              <w14:schemeClr w14:val="tx1"/>
            </w14:solidFill>
          </w14:textFill>
        </w:rPr>
      </w:pPr>
      <w:r>
        <w:rPr>
          <w:color w:val="000000" w:themeColor="text1"/>
          <w:sz w:val="28"/>
          <w:szCs w:val="28"/>
          <w14:textFill>
            <w14:solidFill>
              <w14:schemeClr w14:val="tx1"/>
            </w14:solidFill>
          </w14:textFill>
        </w:rPr>
        <w:t>供应商（盖章）：___________________________</w:t>
      </w:r>
    </w:p>
    <w:p>
      <w:pPr>
        <w:spacing w:line="480" w:lineRule="auto"/>
        <w:ind w:firstLine="1400" w:firstLineChars="5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法定代表人或授权委托人签字：__________________</w:t>
      </w:r>
    </w:p>
    <w:p>
      <w:pPr>
        <w:ind w:firstLine="1400" w:firstLineChars="500"/>
        <w:outlineLvl w:val="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投标日期：____________年_____月______日</w:t>
      </w:r>
    </w:p>
    <w:p>
      <w:pPr>
        <w:ind w:firstLine="1400" w:firstLineChars="500"/>
        <w:outlineLvl w:val="2"/>
        <w:rPr>
          <w:b/>
          <w:bCs/>
          <w:color w:val="000000" w:themeColor="text1"/>
          <w:sz w:val="32"/>
          <w:szCs w:val="32"/>
          <w14:textFill>
            <w14:solidFill>
              <w14:schemeClr w14:val="tx1"/>
            </w14:solidFill>
          </w14:textFill>
        </w:rPr>
      </w:pPr>
      <w:r>
        <w:rPr>
          <w:color w:val="000000" w:themeColor="text1"/>
          <w:sz w:val="28"/>
          <w:szCs w:val="28"/>
          <w14:textFill>
            <w14:solidFill>
              <w14:schemeClr w14:val="tx1"/>
            </w14:solidFill>
          </w14:textFill>
        </w:rPr>
        <w:br w:type="page"/>
      </w:r>
    </w:p>
    <w:p>
      <w:pPr>
        <w:jc w:val="center"/>
        <w:outlineLvl w:val="2"/>
        <w:rPr>
          <w:b/>
          <w:bCs/>
          <w:color w:val="000000" w:themeColor="text1"/>
          <w:sz w:val="32"/>
          <w:szCs w:val="32"/>
          <w14:textFill>
            <w14:solidFill>
              <w14:schemeClr w14:val="tx1"/>
            </w14:solidFill>
          </w14:textFill>
        </w:rPr>
      </w:pPr>
      <w:r>
        <w:rPr>
          <w:b/>
          <w:bCs/>
          <w:color w:val="000000" w:themeColor="text1"/>
          <w:sz w:val="32"/>
          <w:szCs w:val="32"/>
          <w14:textFill>
            <w14:solidFill>
              <w14:schemeClr w14:val="tx1"/>
            </w14:solidFill>
          </w14:textFill>
        </w:rPr>
        <w:t>投标文件目录</w:t>
      </w:r>
    </w:p>
    <w:p>
      <w:pPr>
        <w:rPr>
          <w:color w:val="000000" w:themeColor="text1"/>
          <w:sz w:val="24"/>
          <w14:textFill>
            <w14:solidFill>
              <w14:schemeClr w14:val="tx1"/>
            </w14:solidFill>
          </w14:textFill>
        </w:rPr>
      </w:pPr>
      <w:r>
        <w:rPr>
          <w:color w:val="000000" w:themeColor="text1"/>
          <w:sz w:val="24"/>
          <w14:textFill>
            <w14:solidFill>
              <w14:schemeClr w14:val="tx1"/>
            </w14:solidFill>
          </w14:textFill>
        </w:rPr>
        <w:t>一、评标指引表</w:t>
      </w:r>
    </w:p>
    <w:p>
      <w:pPr>
        <w:rPr>
          <w:color w:val="000000" w:themeColor="text1"/>
          <w:sz w:val="24"/>
          <w14:textFill>
            <w14:solidFill>
              <w14:schemeClr w14:val="tx1"/>
            </w14:solidFill>
          </w14:textFill>
        </w:rPr>
      </w:pPr>
      <w:r>
        <w:rPr>
          <w:color w:val="000000" w:themeColor="text1"/>
          <w:sz w:val="24"/>
          <w14:textFill>
            <w14:solidFill>
              <w14:schemeClr w14:val="tx1"/>
            </w14:solidFill>
          </w14:textFill>
        </w:rPr>
        <w:t>二、声明及承诺函</w:t>
      </w:r>
    </w:p>
    <w:p>
      <w:pPr>
        <w:rPr>
          <w:color w:val="000000" w:themeColor="text1"/>
          <w:sz w:val="24"/>
          <w14:textFill>
            <w14:solidFill>
              <w14:schemeClr w14:val="tx1"/>
            </w14:solidFill>
          </w14:textFill>
        </w:rPr>
      </w:pPr>
      <w:r>
        <w:rPr>
          <w:color w:val="000000" w:themeColor="text1"/>
          <w:sz w:val="24"/>
          <w14:textFill>
            <w14:solidFill>
              <w14:schemeClr w14:val="tx1"/>
            </w14:solidFill>
          </w14:textFill>
        </w:rPr>
        <w:t>三、法定代表人资格证明书</w:t>
      </w:r>
    </w:p>
    <w:p>
      <w:pPr>
        <w:rPr>
          <w:color w:val="000000" w:themeColor="text1"/>
          <w:sz w:val="24"/>
          <w14:textFill>
            <w14:solidFill>
              <w14:schemeClr w14:val="tx1"/>
            </w14:solidFill>
          </w14:textFill>
        </w:rPr>
      </w:pPr>
      <w:r>
        <w:rPr>
          <w:color w:val="000000" w:themeColor="text1"/>
          <w:sz w:val="24"/>
          <w14:textFill>
            <w14:solidFill>
              <w14:schemeClr w14:val="tx1"/>
            </w14:solidFill>
          </w14:textFill>
        </w:rPr>
        <w:t>四、法定代表人授权书</w:t>
      </w:r>
    </w:p>
    <w:p>
      <w:pPr>
        <w:rPr>
          <w:color w:val="000000" w:themeColor="text1"/>
          <w:sz w:val="24"/>
          <w14:textFill>
            <w14:solidFill>
              <w14:schemeClr w14:val="tx1"/>
            </w14:solidFill>
          </w14:textFill>
        </w:rPr>
      </w:pPr>
      <w:r>
        <w:rPr>
          <w:color w:val="000000" w:themeColor="text1"/>
          <w:sz w:val="24"/>
          <w14:textFill>
            <w14:solidFill>
              <w14:schemeClr w14:val="tx1"/>
            </w14:solidFill>
          </w14:textFill>
        </w:rPr>
        <w:t>五、投标函</w:t>
      </w:r>
    </w:p>
    <w:p>
      <w:pPr>
        <w:rPr>
          <w:color w:val="000000" w:themeColor="text1"/>
          <w:sz w:val="24"/>
          <w14:textFill>
            <w14:solidFill>
              <w14:schemeClr w14:val="tx1"/>
            </w14:solidFill>
          </w14:textFill>
        </w:rPr>
      </w:pPr>
      <w:r>
        <w:rPr>
          <w:color w:val="000000" w:themeColor="text1"/>
          <w:sz w:val="24"/>
          <w14:textFill>
            <w14:solidFill>
              <w14:schemeClr w14:val="tx1"/>
            </w14:solidFill>
          </w14:textFill>
        </w:rPr>
        <w:t>六、分项报价清单表</w:t>
      </w:r>
    </w:p>
    <w:p>
      <w:pPr>
        <w:rPr>
          <w:color w:val="000000" w:themeColor="text1"/>
          <w:sz w:val="24"/>
          <w14:textFill>
            <w14:solidFill>
              <w14:schemeClr w14:val="tx1"/>
            </w14:solidFill>
          </w14:textFill>
        </w:rPr>
      </w:pPr>
      <w:r>
        <w:rPr>
          <w:color w:val="000000" w:themeColor="text1"/>
          <w:sz w:val="24"/>
          <w14:textFill>
            <w14:solidFill>
              <w14:schemeClr w14:val="tx1"/>
            </w14:solidFill>
          </w14:textFill>
        </w:rPr>
        <w:t>七、供应商情况介绍</w:t>
      </w:r>
    </w:p>
    <w:p>
      <w:pPr>
        <w:rPr>
          <w:color w:val="000000" w:themeColor="text1"/>
          <w:sz w:val="24"/>
          <w14:textFill>
            <w14:solidFill>
              <w14:schemeClr w14:val="tx1"/>
            </w14:solidFill>
          </w14:textFill>
        </w:rPr>
      </w:pPr>
      <w:r>
        <w:rPr>
          <w:color w:val="000000" w:themeColor="text1"/>
          <w:sz w:val="24"/>
          <w14:textFill>
            <w14:solidFill>
              <w14:schemeClr w14:val="tx1"/>
            </w14:solidFill>
          </w14:textFill>
        </w:rPr>
        <w:t>八、项目管理班子配备情况（表1 ~表4）</w:t>
      </w:r>
    </w:p>
    <w:p>
      <w:pPr>
        <w:rPr>
          <w:color w:val="000000" w:themeColor="text1"/>
          <w:sz w:val="24"/>
          <w14:textFill>
            <w14:solidFill>
              <w14:schemeClr w14:val="tx1"/>
            </w14:solidFill>
          </w14:textFill>
        </w:rPr>
      </w:pPr>
      <w:r>
        <w:rPr>
          <w:color w:val="000000" w:themeColor="text1"/>
          <w:sz w:val="24"/>
          <w14:textFill>
            <w14:solidFill>
              <w14:schemeClr w14:val="tx1"/>
            </w14:solidFill>
          </w14:textFill>
        </w:rPr>
        <w:t>九、项目实施方案</w:t>
      </w:r>
    </w:p>
    <w:p>
      <w:pPr>
        <w:rPr>
          <w:color w:val="000000" w:themeColor="text1"/>
          <w:sz w:val="24"/>
          <w14:textFill>
            <w14:solidFill>
              <w14:schemeClr w14:val="tx1"/>
            </w14:solidFill>
          </w14:textFill>
        </w:rPr>
      </w:pPr>
      <w:r>
        <w:rPr>
          <w:color w:val="000000" w:themeColor="text1"/>
          <w:sz w:val="24"/>
          <w14:textFill>
            <w14:solidFill>
              <w14:schemeClr w14:val="tx1"/>
            </w14:solidFill>
          </w14:textFill>
        </w:rPr>
        <w:t>十、服务条款</w:t>
      </w:r>
    </w:p>
    <w:p>
      <w:pPr>
        <w:rPr>
          <w:color w:val="000000" w:themeColor="text1"/>
          <w:sz w:val="24"/>
          <w14:textFill>
            <w14:solidFill>
              <w14:schemeClr w14:val="tx1"/>
            </w14:solidFill>
          </w14:textFill>
        </w:rPr>
      </w:pPr>
      <w:r>
        <w:rPr>
          <w:color w:val="000000" w:themeColor="text1"/>
          <w:sz w:val="24"/>
          <w14:textFill>
            <w14:solidFill>
              <w14:schemeClr w14:val="tx1"/>
            </w14:solidFill>
          </w14:textFill>
        </w:rPr>
        <w:t>十一、商务条款偏离表</w:t>
      </w:r>
    </w:p>
    <w:p>
      <w:pPr>
        <w:rPr>
          <w:color w:val="000000" w:themeColor="text1"/>
          <w:sz w:val="24"/>
          <w14:textFill>
            <w14:solidFill>
              <w14:schemeClr w14:val="tx1"/>
            </w14:solidFill>
          </w14:textFill>
        </w:rPr>
      </w:pPr>
      <w:r>
        <w:rPr>
          <w:color w:val="000000" w:themeColor="text1"/>
          <w:sz w:val="24"/>
          <w14:textFill>
            <w14:solidFill>
              <w14:schemeClr w14:val="tx1"/>
            </w14:solidFill>
          </w14:textFill>
        </w:rPr>
        <w:t>十二、技术规格偏离表</w:t>
      </w:r>
    </w:p>
    <w:p>
      <w:pPr>
        <w:rPr>
          <w:color w:val="000000" w:themeColor="text1"/>
          <w:sz w:val="24"/>
          <w14:textFill>
            <w14:solidFill>
              <w14:schemeClr w14:val="tx1"/>
            </w14:solidFill>
          </w14:textFill>
        </w:rPr>
      </w:pPr>
      <w:r>
        <w:rPr>
          <w:color w:val="000000" w:themeColor="text1"/>
          <w:sz w:val="24"/>
          <w14:textFill>
            <w14:solidFill>
              <w14:schemeClr w14:val="tx1"/>
            </w14:solidFill>
          </w14:textFill>
        </w:rPr>
        <w:t>十三、中小企业声明函</w:t>
      </w:r>
    </w:p>
    <w:p>
      <w:pPr>
        <w:rPr>
          <w:color w:val="000000" w:themeColor="text1"/>
          <w:sz w:val="24"/>
          <w14:textFill>
            <w14:solidFill>
              <w14:schemeClr w14:val="tx1"/>
            </w14:solidFill>
          </w14:textFill>
        </w:rPr>
      </w:pPr>
      <w:r>
        <w:rPr>
          <w:color w:val="000000" w:themeColor="text1"/>
          <w:sz w:val="24"/>
          <w14:textFill>
            <w14:solidFill>
              <w14:schemeClr w14:val="tx1"/>
            </w14:solidFill>
          </w14:textFill>
        </w:rPr>
        <w:t>十四、</w:t>
      </w:r>
      <w:r>
        <w:rPr>
          <w:bCs/>
          <w:color w:val="000000" w:themeColor="text1"/>
          <w:sz w:val="24"/>
          <w14:textFill>
            <w14:solidFill>
              <w14:schemeClr w14:val="tx1"/>
            </w14:solidFill>
          </w14:textFill>
        </w:rPr>
        <w:t>诚信承诺函</w:t>
      </w:r>
    </w:p>
    <w:p>
      <w:pPr>
        <w:rPr>
          <w:color w:val="000000" w:themeColor="text1"/>
          <w:sz w:val="24"/>
          <w14:textFill>
            <w14:solidFill>
              <w14:schemeClr w14:val="tx1"/>
            </w14:solidFill>
          </w14:textFill>
        </w:rPr>
      </w:pPr>
      <w:r>
        <w:rPr>
          <w:color w:val="000000" w:themeColor="text1"/>
          <w:sz w:val="24"/>
          <w14:textFill>
            <w14:solidFill>
              <w14:schemeClr w14:val="tx1"/>
            </w14:solidFill>
          </w14:textFill>
        </w:rPr>
        <w:t>十五、招标文件要求的其他内容及投标人认为需要加以说明的其他内容</w:t>
      </w:r>
    </w:p>
    <w:p>
      <w:pPr>
        <w:jc w:val="center"/>
        <w:outlineLvl w:val="2"/>
        <w:rPr>
          <w:snapToGrid w:val="0"/>
          <w:color w:val="000000" w:themeColor="text1"/>
          <w:kern w:val="0"/>
          <w14:textFill>
            <w14:solidFill>
              <w14:schemeClr w14:val="tx1"/>
            </w14:solidFill>
          </w14:textFill>
        </w:rPr>
      </w:pPr>
      <w:r>
        <w:rPr>
          <w:b/>
          <w:bCs/>
          <w:color w:val="000000" w:themeColor="text1"/>
          <w:sz w:val="32"/>
          <w:szCs w:val="32"/>
          <w14:textFill>
            <w14:solidFill>
              <w14:schemeClr w14:val="tx1"/>
            </w14:solidFill>
          </w14:textFill>
        </w:rPr>
        <w:br w:type="page"/>
      </w:r>
      <w:r>
        <w:rPr>
          <w:b/>
          <w:bCs/>
          <w:color w:val="000000" w:themeColor="text1"/>
          <w:sz w:val="32"/>
          <w:szCs w:val="32"/>
          <w14:textFill>
            <w14:solidFill>
              <w14:schemeClr w14:val="tx1"/>
            </w14:solidFill>
          </w14:textFill>
        </w:rPr>
        <w:t>一、评标指引表</w:t>
      </w:r>
    </w:p>
    <w:p>
      <w:pPr>
        <w:jc w:val="center"/>
        <w:rPr>
          <w:b/>
          <w:color w:val="000000" w:themeColor="text1"/>
          <w14:textFill>
            <w14:solidFill>
              <w14:schemeClr w14:val="tx1"/>
            </w14:solidFill>
          </w14:textFill>
        </w:rPr>
      </w:pPr>
      <w:r>
        <w:rPr>
          <w:b/>
          <w:color w:val="000000" w:themeColor="text1"/>
          <w14:textFill>
            <w14:solidFill>
              <w14:schemeClr w14:val="tx1"/>
            </w14:solidFill>
          </w14:textFill>
        </w:rPr>
        <w:t>（置于投标文件的首页）</w:t>
      </w:r>
    </w:p>
    <w:p>
      <w:pPr>
        <w:jc w:val="center"/>
        <w:rPr>
          <w:b/>
          <w:color w:val="000000" w:themeColor="text1"/>
          <w14:textFill>
            <w14:solidFill>
              <w14:schemeClr w14:val="tx1"/>
            </w14:solidFill>
          </w14:textFill>
        </w:rPr>
      </w:pPr>
    </w:p>
    <w:p>
      <w:pPr>
        <w:ind w:firstLine="420" w:firstLineChars="200"/>
        <w:rPr>
          <w:color w:val="000000" w:themeColor="text1"/>
          <w14:textFill>
            <w14:solidFill>
              <w14:schemeClr w14:val="tx1"/>
            </w14:solidFill>
          </w14:textFill>
        </w:rPr>
      </w:pPr>
      <w:r>
        <w:rPr>
          <w:color w:val="000000" w:themeColor="text1"/>
          <w:szCs w:val="21"/>
          <w14:textFill>
            <w14:solidFill>
              <w14:schemeClr w14:val="tx1"/>
            </w14:solidFill>
          </w14:textFill>
        </w:rPr>
        <w:t>为方便参与该项目的评委专家的评标，快速找到评标事项与该项目投标文件所对应的位置，请投标人参照下表格式，编制本项目评标指引表。</w:t>
      </w:r>
    </w:p>
    <w:p>
      <w:pPr>
        <w:jc w:val="center"/>
        <w:rPr>
          <w:b/>
          <w:color w:val="000000" w:themeColor="text1"/>
          <w14:textFill>
            <w14:solidFill>
              <w14:schemeClr w14:val="tx1"/>
            </w14:solidFill>
          </w14:textFill>
        </w:rPr>
      </w:pPr>
    </w:p>
    <w:p>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哈尔滨工业大学（深圳）实验与创新实践教育中心网站建设</w:t>
      </w:r>
    </w:p>
    <w:tbl>
      <w:tblPr>
        <w:tblStyle w:val="24"/>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482"/>
        <w:gridCol w:w="658"/>
        <w:gridCol w:w="2160"/>
        <w:gridCol w:w="1307"/>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9854" w:type="dxa"/>
            <w:gridSpan w:val="6"/>
          </w:tcPr>
          <w:p>
            <w:pPr>
              <w:jc w:val="center"/>
              <w:rPr>
                <w:b/>
                <w:color w:val="000000" w:themeColor="text1"/>
                <w14:textFill>
                  <w14:solidFill>
                    <w14:schemeClr w14:val="tx1"/>
                  </w14:solidFill>
                </w14:textFill>
              </w:rPr>
            </w:pPr>
            <w:r>
              <w:rPr>
                <w:b/>
                <w:color w:val="000000" w:themeColor="text1"/>
                <w14:textFill>
                  <w14:solidFill>
                    <w14:schemeClr w14:val="tx1"/>
                  </w14:solidFill>
                </w14:textFill>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tcPr>
          <w:p>
            <w:pPr>
              <w:jc w:val="center"/>
              <w:rPr>
                <w:b/>
                <w:color w:val="000000" w:themeColor="text1"/>
                <w14:textFill>
                  <w14:solidFill>
                    <w14:schemeClr w14:val="tx1"/>
                  </w14:solidFill>
                </w14:textFill>
              </w:rPr>
            </w:pPr>
            <w:r>
              <w:rPr>
                <w:b/>
                <w:color w:val="000000" w:themeColor="text1"/>
                <w14:textFill>
                  <w14:solidFill>
                    <w14:schemeClr w14:val="tx1"/>
                  </w14:solidFill>
                </w14:textFill>
              </w:rPr>
              <w:t>序号</w:t>
            </w:r>
          </w:p>
        </w:tc>
        <w:tc>
          <w:tcPr>
            <w:tcW w:w="3482" w:type="dxa"/>
            <w:vAlign w:val="center"/>
          </w:tcPr>
          <w:p>
            <w:pPr>
              <w:jc w:val="center"/>
              <w:rPr>
                <w:b/>
                <w:color w:val="000000" w:themeColor="text1"/>
                <w14:textFill>
                  <w14:solidFill>
                    <w14:schemeClr w14:val="tx1"/>
                  </w14:solidFill>
                </w14:textFill>
              </w:rPr>
            </w:pPr>
            <w:r>
              <w:rPr>
                <w:b/>
                <w:color w:val="000000" w:themeColor="text1"/>
                <w14:textFill>
                  <w14:solidFill>
                    <w14:schemeClr w14:val="tx1"/>
                  </w14:solidFill>
                </w14:textFill>
              </w:rPr>
              <w:t>资格性检查项目</w:t>
            </w:r>
          </w:p>
        </w:tc>
        <w:tc>
          <w:tcPr>
            <w:tcW w:w="4125" w:type="dxa"/>
            <w:gridSpan w:val="3"/>
            <w:vAlign w:val="center"/>
          </w:tcPr>
          <w:p>
            <w:pPr>
              <w:jc w:val="center"/>
              <w:rPr>
                <w:b/>
                <w:color w:val="000000" w:themeColor="text1"/>
                <w14:textFill>
                  <w14:solidFill>
                    <w14:schemeClr w14:val="tx1"/>
                  </w14:solidFill>
                </w14:textFill>
              </w:rPr>
            </w:pPr>
            <w:r>
              <w:rPr>
                <w:b/>
                <w:color w:val="000000" w:themeColor="text1"/>
                <w14:textFill>
                  <w14:solidFill>
                    <w14:schemeClr w14:val="tx1"/>
                  </w14:solidFill>
                </w14:textFill>
              </w:rPr>
              <w:t>证明文件</w:t>
            </w:r>
          </w:p>
        </w:tc>
        <w:tc>
          <w:tcPr>
            <w:tcW w:w="1419" w:type="dxa"/>
            <w:vAlign w:val="center"/>
          </w:tcPr>
          <w:p>
            <w:pPr>
              <w:jc w:val="center"/>
              <w:rPr>
                <w:b/>
                <w:color w:val="000000" w:themeColor="text1"/>
                <w14:textFill>
                  <w14:solidFill>
                    <w14:schemeClr w14:val="tx1"/>
                  </w14:solidFill>
                </w14:textFill>
              </w:rPr>
            </w:pPr>
            <w:r>
              <w:rPr>
                <w:b/>
                <w:color w:val="000000" w:themeColor="text1"/>
                <w14:textFill>
                  <w14:solidFill>
                    <w14:schemeClr w14:val="tx1"/>
                  </w14:solidFill>
                </w14:textFill>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tcPr>
          <w:p>
            <w:pPr>
              <w:jc w:val="center"/>
              <w:rPr>
                <w:b/>
                <w:color w:val="000000" w:themeColor="text1"/>
                <w14:textFill>
                  <w14:solidFill>
                    <w14:schemeClr w14:val="tx1"/>
                  </w14:solidFill>
                </w14:textFill>
              </w:rPr>
            </w:pPr>
            <w:r>
              <w:rPr>
                <w:b/>
                <w:color w:val="000000" w:themeColor="text1"/>
                <w14:textFill>
                  <w14:solidFill>
                    <w14:schemeClr w14:val="tx1"/>
                  </w14:solidFill>
                </w14:textFill>
              </w:rPr>
              <w:t>1</w:t>
            </w:r>
          </w:p>
        </w:tc>
        <w:tc>
          <w:tcPr>
            <w:tcW w:w="3482" w:type="dxa"/>
            <w:vAlign w:val="center"/>
          </w:tcPr>
          <w:p>
            <w:pPr>
              <w:jc w:val="center"/>
              <w:rPr>
                <w:b/>
                <w:color w:val="000000" w:themeColor="text1"/>
                <w14:textFill>
                  <w14:solidFill>
                    <w14:schemeClr w14:val="tx1"/>
                  </w14:solidFill>
                </w14:textFill>
              </w:rPr>
            </w:pPr>
          </w:p>
        </w:tc>
        <w:tc>
          <w:tcPr>
            <w:tcW w:w="4125" w:type="dxa"/>
            <w:gridSpan w:val="3"/>
            <w:vAlign w:val="center"/>
          </w:tcPr>
          <w:p>
            <w:pPr>
              <w:jc w:val="center"/>
              <w:rPr>
                <w:b/>
                <w:color w:val="000000" w:themeColor="text1"/>
                <w14:textFill>
                  <w14:solidFill>
                    <w14:schemeClr w14:val="tx1"/>
                  </w14:solidFill>
                </w14:textFill>
              </w:rPr>
            </w:pPr>
          </w:p>
        </w:tc>
        <w:tc>
          <w:tcPr>
            <w:tcW w:w="1419" w:type="dxa"/>
            <w:vAlign w:val="center"/>
          </w:tcPr>
          <w:p>
            <w:pPr>
              <w:jc w:val="center"/>
              <w:rPr>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tcPr>
          <w:p>
            <w:pPr>
              <w:jc w:val="center"/>
              <w:rPr>
                <w:b/>
                <w:color w:val="000000" w:themeColor="text1"/>
                <w14:textFill>
                  <w14:solidFill>
                    <w14:schemeClr w14:val="tx1"/>
                  </w14:solidFill>
                </w14:textFill>
              </w:rPr>
            </w:pPr>
            <w:r>
              <w:rPr>
                <w:b/>
                <w:color w:val="000000" w:themeColor="text1"/>
                <w14:textFill>
                  <w14:solidFill>
                    <w14:schemeClr w14:val="tx1"/>
                  </w14:solidFill>
                </w14:textFill>
              </w:rPr>
              <w:t>2</w:t>
            </w:r>
          </w:p>
        </w:tc>
        <w:tc>
          <w:tcPr>
            <w:tcW w:w="3482" w:type="dxa"/>
            <w:vAlign w:val="center"/>
          </w:tcPr>
          <w:p>
            <w:pPr>
              <w:jc w:val="center"/>
              <w:rPr>
                <w:b/>
                <w:color w:val="000000" w:themeColor="text1"/>
                <w14:textFill>
                  <w14:solidFill>
                    <w14:schemeClr w14:val="tx1"/>
                  </w14:solidFill>
                </w14:textFill>
              </w:rPr>
            </w:pPr>
          </w:p>
        </w:tc>
        <w:tc>
          <w:tcPr>
            <w:tcW w:w="4125" w:type="dxa"/>
            <w:gridSpan w:val="3"/>
            <w:vAlign w:val="center"/>
          </w:tcPr>
          <w:p>
            <w:pPr>
              <w:jc w:val="center"/>
              <w:rPr>
                <w:b/>
                <w:color w:val="000000" w:themeColor="text1"/>
                <w14:textFill>
                  <w14:solidFill>
                    <w14:schemeClr w14:val="tx1"/>
                  </w14:solidFill>
                </w14:textFill>
              </w:rPr>
            </w:pPr>
          </w:p>
        </w:tc>
        <w:tc>
          <w:tcPr>
            <w:tcW w:w="1419" w:type="dxa"/>
            <w:vAlign w:val="center"/>
          </w:tcPr>
          <w:p>
            <w:pPr>
              <w:jc w:val="center"/>
              <w:rPr>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tcPr>
          <w:p>
            <w:pPr>
              <w:jc w:val="center"/>
              <w:rPr>
                <w:b/>
                <w:color w:val="000000" w:themeColor="text1"/>
                <w14:textFill>
                  <w14:solidFill>
                    <w14:schemeClr w14:val="tx1"/>
                  </w14:solidFill>
                </w14:textFill>
              </w:rPr>
            </w:pPr>
            <w:r>
              <w:rPr>
                <w:b/>
                <w:color w:val="000000" w:themeColor="text1"/>
                <w14:textFill>
                  <w14:solidFill>
                    <w14:schemeClr w14:val="tx1"/>
                  </w14:solidFill>
                </w14:textFill>
              </w:rPr>
              <w:t>……</w:t>
            </w:r>
          </w:p>
        </w:tc>
        <w:tc>
          <w:tcPr>
            <w:tcW w:w="3482" w:type="dxa"/>
            <w:vAlign w:val="center"/>
          </w:tcPr>
          <w:p>
            <w:pPr>
              <w:jc w:val="center"/>
              <w:rPr>
                <w:b/>
                <w:color w:val="000000" w:themeColor="text1"/>
                <w14:textFill>
                  <w14:solidFill>
                    <w14:schemeClr w14:val="tx1"/>
                  </w14:solidFill>
                </w14:textFill>
              </w:rPr>
            </w:pPr>
            <w:r>
              <w:rPr>
                <w:b/>
                <w:color w:val="000000" w:themeColor="text1"/>
                <w14:textFill>
                  <w14:solidFill>
                    <w14:schemeClr w14:val="tx1"/>
                  </w14:solidFill>
                </w14:textFill>
              </w:rPr>
              <w:t>…………</w:t>
            </w:r>
          </w:p>
        </w:tc>
        <w:tc>
          <w:tcPr>
            <w:tcW w:w="4125" w:type="dxa"/>
            <w:gridSpan w:val="3"/>
            <w:vAlign w:val="center"/>
          </w:tcPr>
          <w:p>
            <w:pPr>
              <w:jc w:val="center"/>
              <w:rPr>
                <w:b/>
                <w:color w:val="000000" w:themeColor="text1"/>
                <w14:textFill>
                  <w14:solidFill>
                    <w14:schemeClr w14:val="tx1"/>
                  </w14:solidFill>
                </w14:textFill>
              </w:rPr>
            </w:pPr>
          </w:p>
        </w:tc>
        <w:tc>
          <w:tcPr>
            <w:tcW w:w="1419" w:type="dxa"/>
            <w:vAlign w:val="center"/>
          </w:tcPr>
          <w:p>
            <w:pPr>
              <w:jc w:val="center"/>
              <w:rPr>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9854" w:type="dxa"/>
            <w:gridSpan w:val="6"/>
          </w:tcPr>
          <w:p>
            <w:pPr>
              <w:jc w:val="center"/>
              <w:rPr>
                <w:b/>
                <w:color w:val="000000" w:themeColor="text1"/>
                <w14:textFill>
                  <w14:solidFill>
                    <w14:schemeClr w14:val="tx1"/>
                  </w14:solidFill>
                </w14:textFill>
              </w:rPr>
            </w:pPr>
            <w:r>
              <w:rPr>
                <w:b/>
                <w:color w:val="000000" w:themeColor="text1"/>
                <w14:textFill>
                  <w14:solidFill>
                    <w14:schemeClr w14:val="tx1"/>
                  </w14:solidFill>
                </w14:textFill>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tcPr>
          <w:p>
            <w:pPr>
              <w:jc w:val="center"/>
              <w:rPr>
                <w:b/>
                <w:color w:val="000000" w:themeColor="text1"/>
                <w14:textFill>
                  <w14:solidFill>
                    <w14:schemeClr w14:val="tx1"/>
                  </w14:solidFill>
                </w14:textFill>
              </w:rPr>
            </w:pPr>
            <w:r>
              <w:rPr>
                <w:b/>
                <w:color w:val="000000" w:themeColor="text1"/>
                <w14:textFill>
                  <w14:solidFill>
                    <w14:schemeClr w14:val="tx1"/>
                  </w14:solidFill>
                </w14:textFill>
              </w:rPr>
              <w:t>序号</w:t>
            </w:r>
          </w:p>
        </w:tc>
        <w:tc>
          <w:tcPr>
            <w:tcW w:w="3482" w:type="dxa"/>
            <w:vAlign w:val="center"/>
          </w:tcPr>
          <w:p>
            <w:pPr>
              <w:jc w:val="center"/>
              <w:rPr>
                <w:b/>
                <w:color w:val="000000" w:themeColor="text1"/>
                <w14:textFill>
                  <w14:solidFill>
                    <w14:schemeClr w14:val="tx1"/>
                  </w14:solidFill>
                </w14:textFill>
              </w:rPr>
            </w:pPr>
            <w:r>
              <w:rPr>
                <w:b/>
                <w:color w:val="000000" w:themeColor="text1"/>
                <w14:textFill>
                  <w14:solidFill>
                    <w14:schemeClr w14:val="tx1"/>
                  </w14:solidFill>
                </w14:textFill>
              </w:rPr>
              <w:t>符合性检查项目</w:t>
            </w:r>
          </w:p>
        </w:tc>
        <w:tc>
          <w:tcPr>
            <w:tcW w:w="4125" w:type="dxa"/>
            <w:gridSpan w:val="3"/>
            <w:vAlign w:val="center"/>
          </w:tcPr>
          <w:p>
            <w:pPr>
              <w:jc w:val="center"/>
              <w:rPr>
                <w:b/>
                <w:color w:val="000000" w:themeColor="text1"/>
                <w14:textFill>
                  <w14:solidFill>
                    <w14:schemeClr w14:val="tx1"/>
                  </w14:solidFill>
                </w14:textFill>
              </w:rPr>
            </w:pPr>
            <w:r>
              <w:rPr>
                <w:b/>
                <w:color w:val="000000" w:themeColor="text1"/>
                <w14:textFill>
                  <w14:solidFill>
                    <w14:schemeClr w14:val="tx1"/>
                  </w14:solidFill>
                </w14:textFill>
              </w:rPr>
              <w:t>说明</w:t>
            </w:r>
          </w:p>
        </w:tc>
        <w:tc>
          <w:tcPr>
            <w:tcW w:w="1419" w:type="dxa"/>
            <w:vAlign w:val="center"/>
          </w:tcPr>
          <w:p>
            <w:pPr>
              <w:jc w:val="center"/>
              <w:rPr>
                <w:b/>
                <w:color w:val="000000" w:themeColor="text1"/>
                <w14:textFill>
                  <w14:solidFill>
                    <w14:schemeClr w14:val="tx1"/>
                  </w14:solidFill>
                </w14:textFill>
              </w:rPr>
            </w:pPr>
            <w:r>
              <w:rPr>
                <w:b/>
                <w:color w:val="000000" w:themeColor="text1"/>
                <w14:textFill>
                  <w14:solidFill>
                    <w14:schemeClr w14:val="tx1"/>
                  </w14:solidFill>
                </w14:textFill>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tcPr>
          <w:p>
            <w:pPr>
              <w:jc w:val="center"/>
              <w:rPr>
                <w:b/>
                <w:color w:val="000000" w:themeColor="text1"/>
                <w14:textFill>
                  <w14:solidFill>
                    <w14:schemeClr w14:val="tx1"/>
                  </w14:solidFill>
                </w14:textFill>
              </w:rPr>
            </w:pPr>
            <w:r>
              <w:rPr>
                <w:b/>
                <w:color w:val="000000" w:themeColor="text1"/>
                <w14:textFill>
                  <w14:solidFill>
                    <w14:schemeClr w14:val="tx1"/>
                  </w14:solidFill>
                </w14:textFill>
              </w:rPr>
              <w:t>1</w:t>
            </w:r>
          </w:p>
        </w:tc>
        <w:tc>
          <w:tcPr>
            <w:tcW w:w="3482" w:type="dxa"/>
          </w:tcPr>
          <w:p>
            <w:pPr>
              <w:jc w:val="center"/>
              <w:rPr>
                <w:b/>
                <w:color w:val="000000" w:themeColor="text1"/>
                <w14:textFill>
                  <w14:solidFill>
                    <w14:schemeClr w14:val="tx1"/>
                  </w14:solidFill>
                </w14:textFill>
              </w:rPr>
            </w:pPr>
          </w:p>
        </w:tc>
        <w:tc>
          <w:tcPr>
            <w:tcW w:w="4125" w:type="dxa"/>
            <w:gridSpan w:val="3"/>
            <w:vAlign w:val="center"/>
          </w:tcPr>
          <w:p>
            <w:pPr>
              <w:jc w:val="center"/>
              <w:rPr>
                <w:b/>
                <w:color w:val="000000" w:themeColor="text1"/>
                <w14:textFill>
                  <w14:solidFill>
                    <w14:schemeClr w14:val="tx1"/>
                  </w14:solidFill>
                </w14:textFill>
              </w:rPr>
            </w:pPr>
          </w:p>
        </w:tc>
        <w:tc>
          <w:tcPr>
            <w:tcW w:w="1419" w:type="dxa"/>
            <w:vAlign w:val="center"/>
          </w:tcPr>
          <w:p>
            <w:pPr>
              <w:jc w:val="center"/>
              <w:rPr>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tcPr>
          <w:p>
            <w:pPr>
              <w:jc w:val="center"/>
              <w:rPr>
                <w:b/>
                <w:color w:val="000000" w:themeColor="text1"/>
                <w14:textFill>
                  <w14:solidFill>
                    <w14:schemeClr w14:val="tx1"/>
                  </w14:solidFill>
                </w14:textFill>
              </w:rPr>
            </w:pPr>
            <w:r>
              <w:rPr>
                <w:b/>
                <w:color w:val="000000" w:themeColor="text1"/>
                <w14:textFill>
                  <w14:solidFill>
                    <w14:schemeClr w14:val="tx1"/>
                  </w14:solidFill>
                </w14:textFill>
              </w:rPr>
              <w:t>2</w:t>
            </w:r>
          </w:p>
        </w:tc>
        <w:tc>
          <w:tcPr>
            <w:tcW w:w="3482" w:type="dxa"/>
          </w:tcPr>
          <w:p>
            <w:pPr>
              <w:jc w:val="center"/>
              <w:rPr>
                <w:b/>
                <w:color w:val="000000" w:themeColor="text1"/>
                <w14:textFill>
                  <w14:solidFill>
                    <w14:schemeClr w14:val="tx1"/>
                  </w14:solidFill>
                </w14:textFill>
              </w:rPr>
            </w:pPr>
          </w:p>
        </w:tc>
        <w:tc>
          <w:tcPr>
            <w:tcW w:w="4125" w:type="dxa"/>
            <w:gridSpan w:val="3"/>
            <w:vAlign w:val="center"/>
          </w:tcPr>
          <w:p>
            <w:pPr>
              <w:jc w:val="center"/>
              <w:rPr>
                <w:b/>
                <w:color w:val="000000" w:themeColor="text1"/>
                <w14:textFill>
                  <w14:solidFill>
                    <w14:schemeClr w14:val="tx1"/>
                  </w14:solidFill>
                </w14:textFill>
              </w:rPr>
            </w:pPr>
          </w:p>
        </w:tc>
        <w:tc>
          <w:tcPr>
            <w:tcW w:w="1419" w:type="dxa"/>
            <w:vAlign w:val="center"/>
          </w:tcPr>
          <w:p>
            <w:pPr>
              <w:jc w:val="center"/>
              <w:rPr>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tcPr>
          <w:p>
            <w:pPr>
              <w:jc w:val="center"/>
              <w:rPr>
                <w:b/>
                <w:color w:val="000000" w:themeColor="text1"/>
                <w14:textFill>
                  <w14:solidFill>
                    <w14:schemeClr w14:val="tx1"/>
                  </w14:solidFill>
                </w14:textFill>
              </w:rPr>
            </w:pPr>
            <w:r>
              <w:rPr>
                <w:b/>
                <w:color w:val="000000" w:themeColor="text1"/>
                <w14:textFill>
                  <w14:solidFill>
                    <w14:schemeClr w14:val="tx1"/>
                  </w14:solidFill>
                </w14:textFill>
              </w:rPr>
              <w:t>3</w:t>
            </w:r>
          </w:p>
        </w:tc>
        <w:tc>
          <w:tcPr>
            <w:tcW w:w="3482" w:type="dxa"/>
          </w:tcPr>
          <w:p>
            <w:pPr>
              <w:jc w:val="center"/>
              <w:rPr>
                <w:b/>
                <w:color w:val="000000" w:themeColor="text1"/>
                <w14:textFill>
                  <w14:solidFill>
                    <w14:schemeClr w14:val="tx1"/>
                  </w14:solidFill>
                </w14:textFill>
              </w:rPr>
            </w:pPr>
          </w:p>
        </w:tc>
        <w:tc>
          <w:tcPr>
            <w:tcW w:w="4125" w:type="dxa"/>
            <w:gridSpan w:val="3"/>
            <w:vAlign w:val="center"/>
          </w:tcPr>
          <w:p>
            <w:pPr>
              <w:jc w:val="center"/>
              <w:rPr>
                <w:b/>
                <w:color w:val="000000" w:themeColor="text1"/>
                <w14:textFill>
                  <w14:solidFill>
                    <w14:schemeClr w14:val="tx1"/>
                  </w14:solidFill>
                </w14:textFill>
              </w:rPr>
            </w:pPr>
          </w:p>
        </w:tc>
        <w:tc>
          <w:tcPr>
            <w:tcW w:w="1419" w:type="dxa"/>
            <w:vAlign w:val="center"/>
          </w:tcPr>
          <w:p>
            <w:pPr>
              <w:jc w:val="center"/>
              <w:rPr>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tcPr>
          <w:p>
            <w:pPr>
              <w:jc w:val="center"/>
              <w:rPr>
                <w:b/>
                <w:color w:val="000000" w:themeColor="text1"/>
                <w14:textFill>
                  <w14:solidFill>
                    <w14:schemeClr w14:val="tx1"/>
                  </w14:solidFill>
                </w14:textFill>
              </w:rPr>
            </w:pPr>
            <w:r>
              <w:rPr>
                <w:b/>
                <w:color w:val="000000" w:themeColor="text1"/>
                <w14:textFill>
                  <w14:solidFill>
                    <w14:schemeClr w14:val="tx1"/>
                  </w14:solidFill>
                </w14:textFill>
              </w:rPr>
              <w:t>4</w:t>
            </w:r>
          </w:p>
        </w:tc>
        <w:tc>
          <w:tcPr>
            <w:tcW w:w="3482" w:type="dxa"/>
          </w:tcPr>
          <w:p>
            <w:pPr>
              <w:jc w:val="center"/>
              <w:rPr>
                <w:b/>
                <w:color w:val="000000" w:themeColor="text1"/>
                <w14:textFill>
                  <w14:solidFill>
                    <w14:schemeClr w14:val="tx1"/>
                  </w14:solidFill>
                </w14:textFill>
              </w:rPr>
            </w:pPr>
          </w:p>
        </w:tc>
        <w:tc>
          <w:tcPr>
            <w:tcW w:w="4125" w:type="dxa"/>
            <w:gridSpan w:val="3"/>
            <w:vAlign w:val="center"/>
          </w:tcPr>
          <w:p>
            <w:pPr>
              <w:jc w:val="center"/>
              <w:rPr>
                <w:b/>
                <w:color w:val="000000" w:themeColor="text1"/>
                <w14:textFill>
                  <w14:solidFill>
                    <w14:schemeClr w14:val="tx1"/>
                  </w14:solidFill>
                </w14:textFill>
              </w:rPr>
            </w:pPr>
          </w:p>
        </w:tc>
        <w:tc>
          <w:tcPr>
            <w:tcW w:w="1419" w:type="dxa"/>
            <w:vAlign w:val="center"/>
          </w:tcPr>
          <w:p>
            <w:pPr>
              <w:jc w:val="center"/>
              <w:rPr>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tcPr>
          <w:p>
            <w:pPr>
              <w:jc w:val="center"/>
              <w:rPr>
                <w:b/>
                <w:color w:val="000000" w:themeColor="text1"/>
                <w14:textFill>
                  <w14:solidFill>
                    <w14:schemeClr w14:val="tx1"/>
                  </w14:solidFill>
                </w14:textFill>
              </w:rPr>
            </w:pPr>
            <w:r>
              <w:rPr>
                <w:b/>
                <w:color w:val="000000" w:themeColor="text1"/>
                <w14:textFill>
                  <w14:solidFill>
                    <w14:schemeClr w14:val="tx1"/>
                  </w14:solidFill>
                </w14:textFill>
              </w:rPr>
              <w:t>5</w:t>
            </w:r>
          </w:p>
        </w:tc>
        <w:tc>
          <w:tcPr>
            <w:tcW w:w="3482" w:type="dxa"/>
          </w:tcPr>
          <w:p>
            <w:pPr>
              <w:jc w:val="center"/>
              <w:rPr>
                <w:color w:val="000000" w:themeColor="text1"/>
                <w:sz w:val="24"/>
                <w14:textFill>
                  <w14:solidFill>
                    <w14:schemeClr w14:val="tx1"/>
                  </w14:solidFill>
                </w14:textFill>
              </w:rPr>
            </w:pPr>
          </w:p>
        </w:tc>
        <w:tc>
          <w:tcPr>
            <w:tcW w:w="4125" w:type="dxa"/>
            <w:gridSpan w:val="3"/>
            <w:vAlign w:val="center"/>
          </w:tcPr>
          <w:p>
            <w:pPr>
              <w:jc w:val="center"/>
              <w:rPr>
                <w:b/>
                <w:color w:val="000000" w:themeColor="text1"/>
                <w14:textFill>
                  <w14:solidFill>
                    <w14:schemeClr w14:val="tx1"/>
                  </w14:solidFill>
                </w14:textFill>
              </w:rPr>
            </w:pPr>
          </w:p>
        </w:tc>
        <w:tc>
          <w:tcPr>
            <w:tcW w:w="1419" w:type="dxa"/>
            <w:vAlign w:val="center"/>
          </w:tcPr>
          <w:p>
            <w:pPr>
              <w:jc w:val="center"/>
              <w:rPr>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tcPr>
          <w:p>
            <w:pPr>
              <w:jc w:val="center"/>
              <w:rPr>
                <w:b/>
                <w:color w:val="000000" w:themeColor="text1"/>
                <w14:textFill>
                  <w14:solidFill>
                    <w14:schemeClr w14:val="tx1"/>
                  </w14:solidFill>
                </w14:textFill>
              </w:rPr>
            </w:pPr>
            <w:r>
              <w:rPr>
                <w:b/>
                <w:color w:val="000000" w:themeColor="text1"/>
                <w14:textFill>
                  <w14:solidFill>
                    <w14:schemeClr w14:val="tx1"/>
                  </w14:solidFill>
                </w14:textFill>
              </w:rPr>
              <w:t>6</w:t>
            </w:r>
          </w:p>
        </w:tc>
        <w:tc>
          <w:tcPr>
            <w:tcW w:w="3482" w:type="dxa"/>
          </w:tcPr>
          <w:p>
            <w:pPr>
              <w:jc w:val="center"/>
              <w:rPr>
                <w:color w:val="000000" w:themeColor="text1"/>
                <w:sz w:val="24"/>
                <w14:textFill>
                  <w14:solidFill>
                    <w14:schemeClr w14:val="tx1"/>
                  </w14:solidFill>
                </w14:textFill>
              </w:rPr>
            </w:pPr>
          </w:p>
        </w:tc>
        <w:tc>
          <w:tcPr>
            <w:tcW w:w="4125" w:type="dxa"/>
            <w:gridSpan w:val="3"/>
            <w:vAlign w:val="center"/>
          </w:tcPr>
          <w:p>
            <w:pPr>
              <w:jc w:val="center"/>
              <w:rPr>
                <w:b/>
                <w:color w:val="000000" w:themeColor="text1"/>
                <w14:textFill>
                  <w14:solidFill>
                    <w14:schemeClr w14:val="tx1"/>
                  </w14:solidFill>
                </w14:textFill>
              </w:rPr>
            </w:pPr>
          </w:p>
        </w:tc>
        <w:tc>
          <w:tcPr>
            <w:tcW w:w="1419" w:type="dxa"/>
            <w:vAlign w:val="center"/>
          </w:tcPr>
          <w:p>
            <w:pPr>
              <w:jc w:val="center"/>
              <w:rPr>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tcPr>
          <w:p>
            <w:pPr>
              <w:jc w:val="center"/>
              <w:rPr>
                <w:b/>
                <w:color w:val="000000" w:themeColor="text1"/>
                <w14:textFill>
                  <w14:solidFill>
                    <w14:schemeClr w14:val="tx1"/>
                  </w14:solidFill>
                </w14:textFill>
              </w:rPr>
            </w:pPr>
            <w:r>
              <w:rPr>
                <w:b/>
                <w:color w:val="000000" w:themeColor="text1"/>
                <w14:textFill>
                  <w14:solidFill>
                    <w14:schemeClr w14:val="tx1"/>
                  </w14:solidFill>
                </w14:textFill>
              </w:rPr>
              <w:t>7</w:t>
            </w:r>
          </w:p>
        </w:tc>
        <w:tc>
          <w:tcPr>
            <w:tcW w:w="3482" w:type="dxa"/>
          </w:tcPr>
          <w:p>
            <w:pPr>
              <w:jc w:val="center"/>
              <w:rPr>
                <w:color w:val="000000" w:themeColor="text1"/>
                <w:sz w:val="24"/>
                <w14:textFill>
                  <w14:solidFill>
                    <w14:schemeClr w14:val="tx1"/>
                  </w14:solidFill>
                </w14:textFill>
              </w:rPr>
            </w:pPr>
          </w:p>
        </w:tc>
        <w:tc>
          <w:tcPr>
            <w:tcW w:w="4125" w:type="dxa"/>
            <w:gridSpan w:val="3"/>
            <w:vAlign w:val="center"/>
          </w:tcPr>
          <w:p>
            <w:pPr>
              <w:jc w:val="center"/>
              <w:rPr>
                <w:b/>
                <w:color w:val="000000" w:themeColor="text1"/>
                <w14:textFill>
                  <w14:solidFill>
                    <w14:schemeClr w14:val="tx1"/>
                  </w14:solidFill>
                </w14:textFill>
              </w:rPr>
            </w:pPr>
          </w:p>
        </w:tc>
        <w:tc>
          <w:tcPr>
            <w:tcW w:w="1419" w:type="dxa"/>
            <w:vAlign w:val="center"/>
          </w:tcPr>
          <w:p>
            <w:pPr>
              <w:jc w:val="center"/>
              <w:rPr>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tcPr>
          <w:p>
            <w:pPr>
              <w:jc w:val="center"/>
              <w:rPr>
                <w:b/>
                <w:color w:val="000000" w:themeColor="text1"/>
                <w14:textFill>
                  <w14:solidFill>
                    <w14:schemeClr w14:val="tx1"/>
                  </w14:solidFill>
                </w14:textFill>
              </w:rPr>
            </w:pPr>
            <w:r>
              <w:rPr>
                <w:b/>
                <w:color w:val="000000" w:themeColor="text1"/>
                <w14:textFill>
                  <w14:solidFill>
                    <w14:schemeClr w14:val="tx1"/>
                  </w14:solidFill>
                </w14:textFill>
              </w:rPr>
              <w:t>8</w:t>
            </w:r>
          </w:p>
        </w:tc>
        <w:tc>
          <w:tcPr>
            <w:tcW w:w="3482" w:type="dxa"/>
          </w:tcPr>
          <w:p>
            <w:pPr>
              <w:jc w:val="center"/>
              <w:rPr>
                <w:b/>
                <w:color w:val="000000" w:themeColor="text1"/>
                <w14:textFill>
                  <w14:solidFill>
                    <w14:schemeClr w14:val="tx1"/>
                  </w14:solidFill>
                </w14:textFill>
              </w:rPr>
            </w:pPr>
          </w:p>
        </w:tc>
        <w:tc>
          <w:tcPr>
            <w:tcW w:w="4125" w:type="dxa"/>
            <w:gridSpan w:val="3"/>
            <w:vAlign w:val="center"/>
          </w:tcPr>
          <w:p>
            <w:pPr>
              <w:jc w:val="center"/>
              <w:rPr>
                <w:b/>
                <w:color w:val="000000" w:themeColor="text1"/>
                <w14:textFill>
                  <w14:solidFill>
                    <w14:schemeClr w14:val="tx1"/>
                  </w14:solidFill>
                </w14:textFill>
              </w:rPr>
            </w:pPr>
          </w:p>
        </w:tc>
        <w:tc>
          <w:tcPr>
            <w:tcW w:w="1419" w:type="dxa"/>
            <w:vAlign w:val="center"/>
          </w:tcPr>
          <w:p>
            <w:pPr>
              <w:jc w:val="center"/>
              <w:rPr>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9854" w:type="dxa"/>
            <w:gridSpan w:val="6"/>
          </w:tcPr>
          <w:p>
            <w:pPr>
              <w:jc w:val="center"/>
              <w:rPr>
                <w:b/>
                <w:color w:val="000000" w:themeColor="text1"/>
                <w14:textFill>
                  <w14:solidFill>
                    <w14:schemeClr w14:val="tx1"/>
                  </w14:solidFill>
                </w14:textFill>
              </w:rPr>
            </w:pPr>
            <w:r>
              <w:rPr>
                <w:b/>
                <w:color w:val="000000" w:themeColor="text1"/>
                <w14:textFill>
                  <w14:solidFill>
                    <w14:schemeClr w14:val="tx1"/>
                  </w14:solidFill>
                </w14:textFill>
              </w:rPr>
              <w:t>三、综合评分指引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tcPr>
          <w:p>
            <w:pPr>
              <w:jc w:val="center"/>
              <w:rPr>
                <w:b/>
                <w:color w:val="000000" w:themeColor="text1"/>
                <w14:textFill>
                  <w14:solidFill>
                    <w14:schemeClr w14:val="tx1"/>
                  </w14:solidFill>
                </w14:textFill>
              </w:rPr>
            </w:pPr>
            <w:r>
              <w:rPr>
                <w:b/>
                <w:color w:val="000000" w:themeColor="text1"/>
                <w14:textFill>
                  <w14:solidFill>
                    <w14:schemeClr w14:val="tx1"/>
                  </w14:solidFill>
                </w14:textFill>
              </w:rPr>
              <w:t>评分类别</w:t>
            </w:r>
          </w:p>
        </w:tc>
        <w:tc>
          <w:tcPr>
            <w:tcW w:w="4140" w:type="dxa"/>
            <w:gridSpan w:val="2"/>
            <w:vAlign w:val="center"/>
          </w:tcPr>
          <w:p>
            <w:pPr>
              <w:jc w:val="center"/>
              <w:rPr>
                <w:b/>
                <w:color w:val="000000" w:themeColor="text1"/>
                <w14:textFill>
                  <w14:solidFill>
                    <w14:schemeClr w14:val="tx1"/>
                  </w14:solidFill>
                </w14:textFill>
              </w:rPr>
            </w:pPr>
            <w:r>
              <w:rPr>
                <w:b/>
                <w:color w:val="000000" w:themeColor="text1"/>
                <w14:textFill>
                  <w14:solidFill>
                    <w14:schemeClr w14:val="tx1"/>
                  </w14:solidFill>
                </w14:textFill>
              </w:rPr>
              <w:t>评分项目</w:t>
            </w:r>
          </w:p>
        </w:tc>
        <w:tc>
          <w:tcPr>
            <w:tcW w:w="2160" w:type="dxa"/>
            <w:vAlign w:val="center"/>
          </w:tcPr>
          <w:p>
            <w:pPr>
              <w:jc w:val="center"/>
              <w:rPr>
                <w:b/>
                <w:color w:val="000000" w:themeColor="text1"/>
                <w14:textFill>
                  <w14:solidFill>
                    <w14:schemeClr w14:val="tx1"/>
                  </w14:solidFill>
                </w14:textFill>
              </w:rPr>
            </w:pPr>
            <w:r>
              <w:rPr>
                <w:b/>
                <w:color w:val="000000" w:themeColor="text1"/>
                <w14:textFill>
                  <w14:solidFill>
                    <w14:schemeClr w14:val="tx1"/>
                  </w14:solidFill>
                </w14:textFill>
              </w:rPr>
              <w:t>分值</w:t>
            </w:r>
          </w:p>
          <w:p>
            <w:pPr>
              <w:jc w:val="center"/>
              <w:rPr>
                <w:b/>
                <w:color w:val="000000" w:themeColor="text1"/>
                <w14:textFill>
                  <w14:solidFill>
                    <w14:schemeClr w14:val="tx1"/>
                  </w14:solidFill>
                </w14:textFill>
              </w:rPr>
            </w:pPr>
            <w:r>
              <w:rPr>
                <w:b/>
                <w:color w:val="000000" w:themeColor="text1"/>
                <w14:textFill>
                  <w14:solidFill>
                    <w14:schemeClr w14:val="tx1"/>
                  </w14:solidFill>
                </w14:textFill>
              </w:rPr>
              <w:t>（或权重）</w:t>
            </w:r>
          </w:p>
        </w:tc>
        <w:tc>
          <w:tcPr>
            <w:tcW w:w="1307" w:type="dxa"/>
            <w:vAlign w:val="center"/>
          </w:tcPr>
          <w:p>
            <w:pPr>
              <w:jc w:val="center"/>
              <w:rPr>
                <w:b/>
                <w:color w:val="000000" w:themeColor="text1"/>
                <w14:textFill>
                  <w14:solidFill>
                    <w14:schemeClr w14:val="tx1"/>
                  </w14:solidFill>
                </w14:textFill>
              </w:rPr>
            </w:pPr>
            <w:r>
              <w:rPr>
                <w:b/>
                <w:color w:val="000000" w:themeColor="text1"/>
                <w14:textFill>
                  <w14:solidFill>
                    <w14:schemeClr w14:val="tx1"/>
                  </w14:solidFill>
                </w14:textFill>
              </w:rPr>
              <w:t>对应章节</w:t>
            </w:r>
          </w:p>
        </w:tc>
        <w:tc>
          <w:tcPr>
            <w:tcW w:w="1419" w:type="dxa"/>
            <w:vAlign w:val="center"/>
          </w:tcPr>
          <w:p>
            <w:pPr>
              <w:jc w:val="center"/>
              <w:rPr>
                <w:b/>
                <w:color w:val="000000" w:themeColor="text1"/>
                <w14:textFill>
                  <w14:solidFill>
                    <w14:schemeClr w14:val="tx1"/>
                  </w14:solidFill>
                </w14:textFill>
              </w:rPr>
            </w:pPr>
            <w:r>
              <w:rPr>
                <w:b/>
                <w:color w:val="000000" w:themeColor="text1"/>
                <w14:textFill>
                  <w14:solidFill>
                    <w14:schemeClr w14:val="tx1"/>
                  </w14:solidFill>
                </w14:textFill>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828" w:type="dxa"/>
            <w:vMerge w:val="restart"/>
            <w:vAlign w:val="center"/>
          </w:tcPr>
          <w:p>
            <w:pPr>
              <w:jc w:val="center"/>
              <w:rPr>
                <w:b/>
                <w:color w:val="000000" w:themeColor="text1"/>
                <w14:textFill>
                  <w14:solidFill>
                    <w14:schemeClr w14:val="tx1"/>
                  </w14:solidFill>
                </w14:textFill>
              </w:rPr>
            </w:pPr>
            <w:r>
              <w:rPr>
                <w:b/>
                <w:color w:val="000000" w:themeColor="text1"/>
                <w14:textFill>
                  <w14:solidFill>
                    <w14:schemeClr w14:val="tx1"/>
                  </w14:solidFill>
                </w14:textFill>
              </w:rPr>
              <w:t>商务部分</w:t>
            </w:r>
          </w:p>
        </w:tc>
        <w:tc>
          <w:tcPr>
            <w:tcW w:w="4140" w:type="dxa"/>
            <w:gridSpan w:val="2"/>
          </w:tcPr>
          <w:p>
            <w:pPr>
              <w:jc w:val="center"/>
              <w:rPr>
                <w:b/>
                <w:color w:val="000000" w:themeColor="text1"/>
                <w14:textFill>
                  <w14:solidFill>
                    <w14:schemeClr w14:val="tx1"/>
                  </w14:solidFill>
                </w14:textFill>
              </w:rPr>
            </w:pPr>
            <w:r>
              <w:rPr>
                <w:b/>
                <w:color w:val="000000" w:themeColor="text1"/>
                <w14:textFill>
                  <w14:solidFill>
                    <w14:schemeClr w14:val="tx1"/>
                  </w14:solidFill>
                </w14:textFill>
              </w:rPr>
              <w:t>1.…………</w:t>
            </w:r>
          </w:p>
        </w:tc>
        <w:tc>
          <w:tcPr>
            <w:tcW w:w="2160" w:type="dxa"/>
          </w:tcPr>
          <w:p>
            <w:pPr>
              <w:jc w:val="center"/>
              <w:rPr>
                <w:b/>
                <w:color w:val="000000" w:themeColor="text1"/>
                <w14:textFill>
                  <w14:solidFill>
                    <w14:schemeClr w14:val="tx1"/>
                  </w14:solidFill>
                </w14:textFill>
              </w:rPr>
            </w:pPr>
          </w:p>
        </w:tc>
        <w:tc>
          <w:tcPr>
            <w:tcW w:w="1307" w:type="dxa"/>
          </w:tcPr>
          <w:p>
            <w:pPr>
              <w:jc w:val="center"/>
              <w:rPr>
                <w:b/>
                <w:color w:val="000000" w:themeColor="text1"/>
                <w14:textFill>
                  <w14:solidFill>
                    <w14:schemeClr w14:val="tx1"/>
                  </w14:solidFill>
                </w14:textFill>
              </w:rPr>
            </w:pPr>
          </w:p>
        </w:tc>
        <w:tc>
          <w:tcPr>
            <w:tcW w:w="1419" w:type="dxa"/>
          </w:tcPr>
          <w:p>
            <w:pPr>
              <w:jc w:val="center"/>
              <w:rPr>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828" w:type="dxa"/>
            <w:vMerge w:val="continue"/>
            <w:vAlign w:val="center"/>
          </w:tcPr>
          <w:p>
            <w:pPr>
              <w:jc w:val="center"/>
              <w:rPr>
                <w:b/>
                <w:color w:val="000000" w:themeColor="text1"/>
                <w14:textFill>
                  <w14:solidFill>
                    <w14:schemeClr w14:val="tx1"/>
                  </w14:solidFill>
                </w14:textFill>
              </w:rPr>
            </w:pPr>
          </w:p>
        </w:tc>
        <w:tc>
          <w:tcPr>
            <w:tcW w:w="4140" w:type="dxa"/>
            <w:gridSpan w:val="2"/>
          </w:tcPr>
          <w:p>
            <w:pPr>
              <w:jc w:val="center"/>
              <w:rPr>
                <w:b/>
                <w:color w:val="000000" w:themeColor="text1"/>
                <w14:textFill>
                  <w14:solidFill>
                    <w14:schemeClr w14:val="tx1"/>
                  </w14:solidFill>
                </w14:textFill>
              </w:rPr>
            </w:pPr>
            <w:r>
              <w:rPr>
                <w:b/>
                <w:color w:val="000000" w:themeColor="text1"/>
                <w14:textFill>
                  <w14:solidFill>
                    <w14:schemeClr w14:val="tx1"/>
                  </w14:solidFill>
                </w14:textFill>
              </w:rPr>
              <w:t>2.…………</w:t>
            </w:r>
          </w:p>
        </w:tc>
        <w:tc>
          <w:tcPr>
            <w:tcW w:w="2160" w:type="dxa"/>
          </w:tcPr>
          <w:p>
            <w:pPr>
              <w:jc w:val="center"/>
              <w:rPr>
                <w:b/>
                <w:color w:val="000000" w:themeColor="text1"/>
                <w14:textFill>
                  <w14:solidFill>
                    <w14:schemeClr w14:val="tx1"/>
                  </w14:solidFill>
                </w14:textFill>
              </w:rPr>
            </w:pPr>
          </w:p>
        </w:tc>
        <w:tc>
          <w:tcPr>
            <w:tcW w:w="1307" w:type="dxa"/>
          </w:tcPr>
          <w:p>
            <w:pPr>
              <w:jc w:val="center"/>
              <w:rPr>
                <w:b/>
                <w:color w:val="000000" w:themeColor="text1"/>
                <w14:textFill>
                  <w14:solidFill>
                    <w14:schemeClr w14:val="tx1"/>
                  </w14:solidFill>
                </w14:textFill>
              </w:rPr>
            </w:pPr>
          </w:p>
        </w:tc>
        <w:tc>
          <w:tcPr>
            <w:tcW w:w="1419" w:type="dxa"/>
          </w:tcPr>
          <w:p>
            <w:pPr>
              <w:jc w:val="center"/>
              <w:rPr>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828" w:type="dxa"/>
            <w:vMerge w:val="continue"/>
            <w:vAlign w:val="center"/>
          </w:tcPr>
          <w:p>
            <w:pPr>
              <w:jc w:val="center"/>
              <w:rPr>
                <w:b/>
                <w:color w:val="000000" w:themeColor="text1"/>
                <w14:textFill>
                  <w14:solidFill>
                    <w14:schemeClr w14:val="tx1"/>
                  </w14:solidFill>
                </w14:textFill>
              </w:rPr>
            </w:pPr>
          </w:p>
        </w:tc>
        <w:tc>
          <w:tcPr>
            <w:tcW w:w="4140" w:type="dxa"/>
            <w:gridSpan w:val="2"/>
          </w:tcPr>
          <w:p>
            <w:pPr>
              <w:jc w:val="center"/>
              <w:rPr>
                <w:b/>
                <w:color w:val="000000" w:themeColor="text1"/>
                <w14:textFill>
                  <w14:solidFill>
                    <w14:schemeClr w14:val="tx1"/>
                  </w14:solidFill>
                </w14:textFill>
              </w:rPr>
            </w:pPr>
            <w:r>
              <w:rPr>
                <w:b/>
                <w:color w:val="000000" w:themeColor="text1"/>
                <w14:textFill>
                  <w14:solidFill>
                    <w14:schemeClr w14:val="tx1"/>
                  </w14:solidFill>
                </w14:textFill>
              </w:rPr>
              <w:t>…………</w:t>
            </w:r>
          </w:p>
        </w:tc>
        <w:tc>
          <w:tcPr>
            <w:tcW w:w="2160" w:type="dxa"/>
          </w:tcPr>
          <w:p>
            <w:pPr>
              <w:jc w:val="center"/>
              <w:rPr>
                <w:b/>
                <w:color w:val="000000" w:themeColor="text1"/>
                <w14:textFill>
                  <w14:solidFill>
                    <w14:schemeClr w14:val="tx1"/>
                  </w14:solidFill>
                </w14:textFill>
              </w:rPr>
            </w:pPr>
          </w:p>
        </w:tc>
        <w:tc>
          <w:tcPr>
            <w:tcW w:w="1307" w:type="dxa"/>
          </w:tcPr>
          <w:p>
            <w:pPr>
              <w:jc w:val="center"/>
              <w:rPr>
                <w:b/>
                <w:color w:val="000000" w:themeColor="text1"/>
                <w14:textFill>
                  <w14:solidFill>
                    <w14:schemeClr w14:val="tx1"/>
                  </w14:solidFill>
                </w14:textFill>
              </w:rPr>
            </w:pPr>
          </w:p>
        </w:tc>
        <w:tc>
          <w:tcPr>
            <w:tcW w:w="1419" w:type="dxa"/>
          </w:tcPr>
          <w:p>
            <w:pPr>
              <w:jc w:val="center"/>
              <w:rPr>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vMerge w:val="restart"/>
            <w:vAlign w:val="center"/>
          </w:tcPr>
          <w:p>
            <w:pPr>
              <w:jc w:val="center"/>
              <w:rPr>
                <w:b/>
                <w:color w:val="000000" w:themeColor="text1"/>
                <w14:textFill>
                  <w14:solidFill>
                    <w14:schemeClr w14:val="tx1"/>
                  </w14:solidFill>
                </w14:textFill>
              </w:rPr>
            </w:pPr>
            <w:r>
              <w:rPr>
                <w:b/>
                <w:color w:val="000000" w:themeColor="text1"/>
                <w14:textFill>
                  <w14:solidFill>
                    <w14:schemeClr w14:val="tx1"/>
                  </w14:solidFill>
                </w14:textFill>
              </w:rPr>
              <w:t>技术部分</w:t>
            </w:r>
          </w:p>
        </w:tc>
        <w:tc>
          <w:tcPr>
            <w:tcW w:w="4140" w:type="dxa"/>
            <w:gridSpan w:val="2"/>
          </w:tcPr>
          <w:p>
            <w:pPr>
              <w:jc w:val="center"/>
              <w:rPr>
                <w:b/>
                <w:color w:val="000000" w:themeColor="text1"/>
                <w14:textFill>
                  <w14:solidFill>
                    <w14:schemeClr w14:val="tx1"/>
                  </w14:solidFill>
                </w14:textFill>
              </w:rPr>
            </w:pPr>
            <w:r>
              <w:rPr>
                <w:b/>
                <w:color w:val="000000" w:themeColor="text1"/>
                <w14:textFill>
                  <w14:solidFill>
                    <w14:schemeClr w14:val="tx1"/>
                  </w14:solidFill>
                </w14:textFill>
              </w:rPr>
              <w:t>1.…………</w:t>
            </w:r>
          </w:p>
        </w:tc>
        <w:tc>
          <w:tcPr>
            <w:tcW w:w="2160" w:type="dxa"/>
          </w:tcPr>
          <w:p>
            <w:pPr>
              <w:jc w:val="center"/>
              <w:rPr>
                <w:b/>
                <w:color w:val="000000" w:themeColor="text1"/>
                <w14:textFill>
                  <w14:solidFill>
                    <w14:schemeClr w14:val="tx1"/>
                  </w14:solidFill>
                </w14:textFill>
              </w:rPr>
            </w:pPr>
          </w:p>
        </w:tc>
        <w:tc>
          <w:tcPr>
            <w:tcW w:w="1307" w:type="dxa"/>
          </w:tcPr>
          <w:p>
            <w:pPr>
              <w:jc w:val="center"/>
              <w:rPr>
                <w:b/>
                <w:color w:val="000000" w:themeColor="text1"/>
                <w14:textFill>
                  <w14:solidFill>
                    <w14:schemeClr w14:val="tx1"/>
                  </w14:solidFill>
                </w14:textFill>
              </w:rPr>
            </w:pPr>
          </w:p>
        </w:tc>
        <w:tc>
          <w:tcPr>
            <w:tcW w:w="1419" w:type="dxa"/>
          </w:tcPr>
          <w:p>
            <w:pPr>
              <w:jc w:val="center"/>
              <w:rPr>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vMerge w:val="continue"/>
          </w:tcPr>
          <w:p>
            <w:pPr>
              <w:jc w:val="center"/>
              <w:rPr>
                <w:b/>
                <w:color w:val="000000" w:themeColor="text1"/>
                <w14:textFill>
                  <w14:solidFill>
                    <w14:schemeClr w14:val="tx1"/>
                  </w14:solidFill>
                </w14:textFill>
              </w:rPr>
            </w:pPr>
          </w:p>
        </w:tc>
        <w:tc>
          <w:tcPr>
            <w:tcW w:w="4140" w:type="dxa"/>
            <w:gridSpan w:val="2"/>
          </w:tcPr>
          <w:p>
            <w:pPr>
              <w:jc w:val="center"/>
              <w:rPr>
                <w:b/>
                <w:color w:val="000000" w:themeColor="text1"/>
                <w14:textFill>
                  <w14:solidFill>
                    <w14:schemeClr w14:val="tx1"/>
                  </w14:solidFill>
                </w14:textFill>
              </w:rPr>
            </w:pPr>
            <w:r>
              <w:rPr>
                <w:b/>
                <w:color w:val="000000" w:themeColor="text1"/>
                <w14:textFill>
                  <w14:solidFill>
                    <w14:schemeClr w14:val="tx1"/>
                  </w14:solidFill>
                </w14:textFill>
              </w:rPr>
              <w:t>2.…………</w:t>
            </w:r>
          </w:p>
        </w:tc>
        <w:tc>
          <w:tcPr>
            <w:tcW w:w="2160" w:type="dxa"/>
          </w:tcPr>
          <w:p>
            <w:pPr>
              <w:jc w:val="center"/>
              <w:rPr>
                <w:b/>
                <w:color w:val="000000" w:themeColor="text1"/>
                <w14:textFill>
                  <w14:solidFill>
                    <w14:schemeClr w14:val="tx1"/>
                  </w14:solidFill>
                </w14:textFill>
              </w:rPr>
            </w:pPr>
          </w:p>
        </w:tc>
        <w:tc>
          <w:tcPr>
            <w:tcW w:w="1307" w:type="dxa"/>
          </w:tcPr>
          <w:p>
            <w:pPr>
              <w:jc w:val="center"/>
              <w:rPr>
                <w:b/>
                <w:color w:val="000000" w:themeColor="text1"/>
                <w14:textFill>
                  <w14:solidFill>
                    <w14:schemeClr w14:val="tx1"/>
                  </w14:solidFill>
                </w14:textFill>
              </w:rPr>
            </w:pPr>
          </w:p>
        </w:tc>
        <w:tc>
          <w:tcPr>
            <w:tcW w:w="1419" w:type="dxa"/>
          </w:tcPr>
          <w:p>
            <w:pPr>
              <w:jc w:val="center"/>
              <w:rPr>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vMerge w:val="continue"/>
          </w:tcPr>
          <w:p>
            <w:pPr>
              <w:jc w:val="center"/>
              <w:rPr>
                <w:b/>
                <w:color w:val="000000" w:themeColor="text1"/>
                <w14:textFill>
                  <w14:solidFill>
                    <w14:schemeClr w14:val="tx1"/>
                  </w14:solidFill>
                </w14:textFill>
              </w:rPr>
            </w:pPr>
          </w:p>
        </w:tc>
        <w:tc>
          <w:tcPr>
            <w:tcW w:w="4140" w:type="dxa"/>
            <w:gridSpan w:val="2"/>
          </w:tcPr>
          <w:p>
            <w:pPr>
              <w:jc w:val="center"/>
              <w:rPr>
                <w:b/>
                <w:color w:val="000000" w:themeColor="text1"/>
                <w14:textFill>
                  <w14:solidFill>
                    <w14:schemeClr w14:val="tx1"/>
                  </w14:solidFill>
                </w14:textFill>
              </w:rPr>
            </w:pPr>
            <w:r>
              <w:rPr>
                <w:b/>
                <w:color w:val="000000" w:themeColor="text1"/>
                <w14:textFill>
                  <w14:solidFill>
                    <w14:schemeClr w14:val="tx1"/>
                  </w14:solidFill>
                </w14:textFill>
              </w:rPr>
              <w:t>…………</w:t>
            </w:r>
          </w:p>
        </w:tc>
        <w:tc>
          <w:tcPr>
            <w:tcW w:w="2160" w:type="dxa"/>
          </w:tcPr>
          <w:p>
            <w:pPr>
              <w:jc w:val="center"/>
              <w:rPr>
                <w:b/>
                <w:color w:val="000000" w:themeColor="text1"/>
                <w14:textFill>
                  <w14:solidFill>
                    <w14:schemeClr w14:val="tx1"/>
                  </w14:solidFill>
                </w14:textFill>
              </w:rPr>
            </w:pPr>
          </w:p>
        </w:tc>
        <w:tc>
          <w:tcPr>
            <w:tcW w:w="1307" w:type="dxa"/>
          </w:tcPr>
          <w:p>
            <w:pPr>
              <w:jc w:val="center"/>
              <w:rPr>
                <w:b/>
                <w:color w:val="000000" w:themeColor="text1"/>
                <w14:textFill>
                  <w14:solidFill>
                    <w14:schemeClr w14:val="tx1"/>
                  </w14:solidFill>
                </w14:textFill>
              </w:rPr>
            </w:pPr>
          </w:p>
        </w:tc>
        <w:tc>
          <w:tcPr>
            <w:tcW w:w="1419" w:type="dxa"/>
          </w:tcPr>
          <w:p>
            <w:pPr>
              <w:jc w:val="center"/>
              <w:rPr>
                <w:b/>
                <w:color w:val="000000" w:themeColor="text1"/>
                <w14:textFill>
                  <w14:solidFill>
                    <w14:schemeClr w14:val="tx1"/>
                  </w14:solidFill>
                </w14:textFill>
              </w:rPr>
            </w:pPr>
          </w:p>
        </w:tc>
      </w:tr>
    </w:tbl>
    <w:p>
      <w:pPr>
        <w:ind w:firstLine="422" w:firstLineChars="200"/>
        <w:rPr>
          <w:b/>
          <w:color w:val="000000" w:themeColor="text1"/>
          <w14:textFill>
            <w14:solidFill>
              <w14:schemeClr w14:val="tx1"/>
            </w14:solidFill>
          </w14:textFill>
        </w:rPr>
      </w:pPr>
      <w:r>
        <w:rPr>
          <w:b/>
          <w:color w:val="000000" w:themeColor="text1"/>
          <w:szCs w:val="21"/>
          <w14:textFill>
            <w14:solidFill>
              <w14:schemeClr w14:val="tx1"/>
            </w14:solidFill>
          </w14:textFill>
        </w:rPr>
        <w:t>注：请投标人按照“关键信息——投标文件初审表、评标信息”的审查和评分内容，自上而下的顺序填写本表</w:t>
      </w:r>
      <w:r>
        <w:rPr>
          <w:b/>
          <w:color w:val="000000" w:themeColor="text1"/>
          <w14:textFill>
            <w14:solidFill>
              <w14:schemeClr w14:val="tx1"/>
            </w14:solidFill>
          </w14:textFill>
        </w:rPr>
        <w:t>。因项目次序混乱而影响评标效率及评标结果者，投标人自负其责。</w:t>
      </w:r>
    </w:p>
    <w:p>
      <w:pPr>
        <w:pStyle w:val="3"/>
        <w:spacing w:before="120" w:after="120"/>
        <w:jc w:val="center"/>
        <w:rPr>
          <w:color w:val="000000" w:themeColor="text1"/>
          <w14:textFill>
            <w14:solidFill>
              <w14:schemeClr w14:val="tx1"/>
            </w14:solidFill>
          </w14:textFill>
        </w:rPr>
      </w:pPr>
      <w:r>
        <w:rPr>
          <w:color w:val="000000" w:themeColor="text1"/>
          <w14:textFill>
            <w14:solidFill>
              <w14:schemeClr w14:val="tx1"/>
            </w14:solidFill>
          </w14:textFill>
        </w:rPr>
        <w:br w:type="page"/>
      </w:r>
      <w:r>
        <w:rPr>
          <w:color w:val="000000" w:themeColor="text1"/>
          <w14:textFill>
            <w14:solidFill>
              <w14:schemeClr w14:val="tx1"/>
            </w14:solidFill>
          </w14:textFill>
        </w:rPr>
        <w:t>二、声明及承诺函</w:t>
      </w:r>
    </w:p>
    <w:p>
      <w:pPr>
        <w:pStyle w:val="5"/>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声明</w:t>
      </w:r>
    </w:p>
    <w:p>
      <w:pPr>
        <w:widowControl/>
        <w:spacing w:line="240" w:lineRule="exact"/>
        <w:jc w:val="left"/>
        <w:rPr>
          <w:color w:val="000000" w:themeColor="text1"/>
          <w:kern w:val="0"/>
          <w:sz w:val="32"/>
          <w:szCs w:val="18"/>
          <w14:textFill>
            <w14:solidFill>
              <w14:schemeClr w14:val="tx1"/>
            </w14:solidFill>
          </w14:textFill>
        </w:rPr>
      </w:pPr>
    </w:p>
    <w:p>
      <w:pPr>
        <w:widowControl/>
        <w:snapToGrid w:val="0"/>
        <w:jc w:val="left"/>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哈尔滨工业大学（深圳）</w:t>
      </w:r>
      <w:r>
        <w:rPr>
          <w:color w:val="000000" w:themeColor="text1"/>
          <w:kern w:val="0"/>
          <w:sz w:val="24"/>
          <w14:textFill>
            <w14:solidFill>
              <w14:schemeClr w14:val="tx1"/>
            </w14:solidFill>
          </w14:textFill>
        </w:rPr>
        <w:t>：</w:t>
      </w:r>
    </w:p>
    <w:p>
      <w:pPr>
        <w:widowControl/>
        <w:snapToGrid w:val="0"/>
        <w:ind w:firstLine="480" w:firstLineChars="200"/>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本公司就参加项目投标工作，作出郑重声明：</w:t>
      </w:r>
    </w:p>
    <w:p>
      <w:pPr>
        <w:widowControl/>
        <w:snapToGrid w:val="0"/>
        <w:ind w:firstLine="480" w:firstLineChars="200"/>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1．我公司已完全理解该项目招标公告所列明的全部条件，亦保证我公司完全符合本项目的投标条件。</w:t>
      </w:r>
    </w:p>
    <w:p>
      <w:pPr>
        <w:widowControl/>
        <w:snapToGrid w:val="0"/>
        <w:ind w:firstLine="480" w:firstLineChars="200"/>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2．我公司严格按照</w:t>
      </w:r>
      <w:r>
        <w:rPr>
          <w:color w:val="000000" w:themeColor="text1"/>
          <w:sz w:val="24"/>
          <w14:textFill>
            <w14:solidFill>
              <w14:schemeClr w14:val="tx1"/>
            </w14:solidFill>
          </w14:textFill>
        </w:rPr>
        <w:t>贵方</w:t>
      </w:r>
      <w:r>
        <w:rPr>
          <w:color w:val="000000" w:themeColor="text1"/>
          <w:kern w:val="0"/>
          <w:sz w:val="24"/>
          <w14:textFill>
            <w14:solidFill>
              <w14:schemeClr w14:val="tx1"/>
            </w14:solidFill>
          </w14:textFill>
        </w:rPr>
        <w:t>提供的标书样本填写和提交相关内容，保证所提交的投标资料全部真实有效，并</w:t>
      </w:r>
      <w:r>
        <w:rPr>
          <w:color w:val="000000" w:themeColor="text1"/>
          <w:sz w:val="24"/>
          <w14:textFill>
            <w14:solidFill>
              <w14:schemeClr w14:val="tx1"/>
            </w14:solidFill>
          </w14:textFill>
        </w:rPr>
        <w:t>愿意向贵方及采购单位提供任何与本项目有关的数据、情况和技术资料。</w:t>
      </w:r>
    </w:p>
    <w:p>
      <w:pPr>
        <w:snapToGrid w:val="0"/>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3．保证遵守招标文件的规定，放弃提出对招标文件误解的权利。</w:t>
      </w:r>
    </w:p>
    <w:p>
      <w:pPr>
        <w:snapToGrid w:val="0"/>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以上声明若有违反，一经查实，本人和本公司愿意接受有关部门的相应处罚，并愿意承担由此带来的法律后果。</w:t>
      </w:r>
    </w:p>
    <w:p>
      <w:pPr>
        <w:snapToGrid w:val="0"/>
        <w:ind w:firstLine="480" w:firstLineChars="200"/>
        <w:rPr>
          <w:color w:val="000000" w:themeColor="text1"/>
          <w:sz w:val="24"/>
          <w14:textFill>
            <w14:solidFill>
              <w14:schemeClr w14:val="tx1"/>
            </w14:solidFill>
          </w14:textFill>
        </w:rPr>
      </w:pPr>
    </w:p>
    <w:p>
      <w:pPr>
        <w:spacing w:line="460" w:lineRule="exact"/>
        <w:rPr>
          <w:color w:val="000000" w:themeColor="text1"/>
          <w:sz w:val="24"/>
          <w14:textFill>
            <w14:solidFill>
              <w14:schemeClr w14:val="tx1"/>
            </w14:solidFill>
          </w14:textFill>
        </w:rPr>
      </w:pPr>
    </w:p>
    <w:p>
      <w:pPr>
        <w:widowControl/>
        <w:spacing w:line="360" w:lineRule="auto"/>
        <w:jc w:val="left"/>
        <w:rPr>
          <w:color w:val="000000" w:themeColor="text1"/>
          <w:sz w:val="24"/>
          <w14:textFill>
            <w14:solidFill>
              <w14:schemeClr w14:val="tx1"/>
            </w14:solidFill>
          </w14:textFill>
        </w:rPr>
      </w:pPr>
    </w:p>
    <w:p>
      <w:pPr>
        <w:widowControl/>
        <w:snapToGrid w:val="0"/>
        <w:ind w:right="1274" w:firstLine="480" w:firstLineChars="200"/>
        <w:jc w:val="righ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声明企业（公章）：</w:t>
      </w:r>
    </w:p>
    <w:p>
      <w:pPr>
        <w:widowControl/>
        <w:snapToGrid w:val="0"/>
        <w:ind w:right="1274" w:firstLine="480" w:firstLineChars="200"/>
        <w:jc w:val="righ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声明人（法定代表人）签字：</w:t>
      </w:r>
    </w:p>
    <w:p>
      <w:pPr>
        <w:widowControl/>
        <w:snapToGrid w:val="0"/>
        <w:ind w:right="1274" w:firstLine="480" w:firstLineChars="200"/>
        <w:jc w:val="righ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声明人（法定代表人授权委托人）签字：</w:t>
      </w:r>
    </w:p>
    <w:p>
      <w:pPr>
        <w:widowControl/>
        <w:snapToGrid w:val="0"/>
        <w:ind w:right="140" w:firstLine="480" w:firstLineChars="200"/>
        <w:jc w:val="righ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年</w:t>
      </w:r>
      <w:r>
        <w:rPr>
          <w:rFonts w:hint="eastAsia"/>
          <w:color w:val="000000" w:themeColor="text1"/>
          <w:kern w:val="0"/>
          <w:sz w:val="24"/>
          <w14:textFill>
            <w14:solidFill>
              <w14:schemeClr w14:val="tx1"/>
            </w14:solidFill>
          </w14:textFill>
        </w:rPr>
        <w:t xml:space="preserve"> </w:t>
      </w:r>
      <w:r>
        <w:rPr>
          <w:color w:val="000000" w:themeColor="text1"/>
          <w:kern w:val="0"/>
          <w:sz w:val="24"/>
          <w14:textFill>
            <w14:solidFill>
              <w14:schemeClr w14:val="tx1"/>
            </w14:solidFill>
          </w14:textFill>
        </w:rPr>
        <w:t>月</w:t>
      </w:r>
      <w:r>
        <w:rPr>
          <w:rFonts w:hint="eastAsia"/>
          <w:color w:val="000000" w:themeColor="text1"/>
          <w:kern w:val="0"/>
          <w:sz w:val="24"/>
          <w14:textFill>
            <w14:solidFill>
              <w14:schemeClr w14:val="tx1"/>
            </w14:solidFill>
          </w14:textFill>
        </w:rPr>
        <w:t xml:space="preserve"> </w:t>
      </w:r>
      <w:r>
        <w:rPr>
          <w:color w:val="000000" w:themeColor="text1"/>
          <w:kern w:val="0"/>
          <w:sz w:val="24"/>
          <w14:textFill>
            <w14:solidFill>
              <w14:schemeClr w14:val="tx1"/>
            </w14:solidFill>
          </w14:textFill>
        </w:rPr>
        <w:t>日</w:t>
      </w:r>
    </w:p>
    <w:p>
      <w:pPr>
        <w:ind w:right="1274" w:firstLine="540"/>
        <w:rPr>
          <w:color w:val="000000" w:themeColor="text1"/>
          <w:sz w:val="24"/>
          <w14:textFill>
            <w14:solidFill>
              <w14:schemeClr w14:val="tx1"/>
            </w14:solidFill>
          </w14:textFill>
        </w:rPr>
      </w:pPr>
    </w:p>
    <w:p>
      <w:pPr>
        <w:pStyle w:val="5"/>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承诺函</w:t>
      </w: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rFonts w:hint="eastAsia"/>
          <w:color w:val="000000" w:themeColor="text1"/>
          <w:sz w:val="24"/>
          <w14:textFill>
            <w14:solidFill>
              <w14:schemeClr w14:val="tx1"/>
            </w14:solidFill>
          </w14:textFill>
        </w:rPr>
        <w:t>哈尔滨工业大学（深圳）</w:t>
      </w:r>
    </w:p>
    <w:p>
      <w:pPr>
        <w:rPr>
          <w:color w:val="000000" w:themeColor="text1"/>
          <w:sz w:val="24"/>
          <w14:textFill>
            <w14:solidFill>
              <w14:schemeClr w14:val="tx1"/>
            </w14:solidFill>
          </w14:textFill>
        </w:rPr>
      </w:pPr>
    </w:p>
    <w:p>
      <w:pPr>
        <w:ind w:firstLine="540"/>
        <w:rPr>
          <w:color w:val="000000" w:themeColor="text1"/>
          <w:sz w:val="24"/>
          <w14:textFill>
            <w14:solidFill>
              <w14:schemeClr w14:val="tx1"/>
            </w14:solidFill>
          </w14:textFill>
        </w:rPr>
      </w:pPr>
      <w:r>
        <w:rPr>
          <w:color w:val="000000" w:themeColor="text1"/>
          <w:sz w:val="24"/>
          <w14:textFill>
            <w14:solidFill>
              <w14:schemeClr w14:val="tx1"/>
            </w14:solidFill>
          </w14:textFill>
        </w:rPr>
        <w:t>我公司承诺，对本招标项目所提供的货物、工程或服务未侵犯知识产权。我公司已清楚，提供虚假承诺或者被有关单位确认为侵犯知识产权的，三年内不得参加政府采购活动。</w:t>
      </w:r>
    </w:p>
    <w:p>
      <w:pPr>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我公司承诺，如《商务条款偏离表》与《技术规格偏离表》所填写“偏离情况”与投标文件实质内容不符的，按《中华人民共和国政府采购法》第七十七条“（一）提供虚假材料谋取中标、成交的”追求责任，一年内不得参加政府采购活动。</w:t>
      </w:r>
    </w:p>
    <w:p>
      <w:pPr>
        <w:ind w:firstLine="645"/>
        <w:rPr>
          <w:color w:val="000000" w:themeColor="text1"/>
          <w:sz w:val="24"/>
          <w14:textFill>
            <w14:solidFill>
              <w14:schemeClr w14:val="tx1"/>
            </w14:solidFill>
          </w14:textFill>
        </w:rPr>
      </w:pPr>
    </w:p>
    <w:p>
      <w:pPr>
        <w:ind w:firstLine="645"/>
        <w:rPr>
          <w:color w:val="000000" w:themeColor="text1"/>
          <w:sz w:val="24"/>
          <w14:textFill>
            <w14:solidFill>
              <w14:schemeClr w14:val="tx1"/>
            </w14:solidFill>
          </w14:textFill>
        </w:rPr>
      </w:pPr>
    </w:p>
    <w:p>
      <w:pPr>
        <w:ind w:right="1273" w:rightChars="606" w:firstLine="4960" w:firstLineChars="2067"/>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公司名称</w:t>
      </w:r>
      <w:r>
        <w:rPr>
          <w:color w:val="000000" w:themeColor="text1"/>
          <w14:textFill>
            <w14:solidFill>
              <w14:schemeClr w14:val="tx1"/>
            </w14:solidFill>
          </w14:textFill>
        </w:rPr>
        <w:t>（</w:t>
      </w:r>
      <w:r>
        <w:rPr>
          <w:b/>
          <w:color w:val="000000" w:themeColor="text1"/>
          <w14:textFill>
            <w14:solidFill>
              <w14:schemeClr w14:val="tx1"/>
            </w14:solidFill>
          </w14:textFill>
        </w:rPr>
        <w:t>加盖单位公章）</w:t>
      </w:r>
      <w:r>
        <w:rPr>
          <w:color w:val="000000" w:themeColor="text1"/>
          <w:sz w:val="24"/>
          <w14:textFill>
            <w14:solidFill>
              <w14:schemeClr w14:val="tx1"/>
            </w14:solidFill>
          </w14:textFill>
        </w:rPr>
        <w:t>：</w:t>
      </w:r>
    </w:p>
    <w:p>
      <w:pPr>
        <w:ind w:right="1273" w:rightChars="606" w:firstLine="645"/>
        <w:jc w:val="right"/>
        <w:rPr>
          <w:color w:val="000000" w:themeColor="text1"/>
          <w:sz w:val="24"/>
          <w14:textFill>
            <w14:solidFill>
              <w14:schemeClr w14:val="tx1"/>
            </w14:solidFill>
          </w14:textFill>
        </w:rPr>
      </w:pPr>
    </w:p>
    <w:p>
      <w:pPr>
        <w:pStyle w:val="10"/>
        <w:ind w:right="-1" w:firstLine="480" w:firstLineChars="20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年</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月</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日</w:t>
      </w:r>
    </w:p>
    <w:p>
      <w:pPr>
        <w:pStyle w:val="3"/>
        <w:spacing w:before="120" w:after="120"/>
        <w:jc w:val="center"/>
        <w:rPr>
          <w:color w:val="000000" w:themeColor="text1"/>
          <w14:textFill>
            <w14:solidFill>
              <w14:schemeClr w14:val="tx1"/>
            </w14:solidFill>
          </w14:textFill>
        </w:rPr>
      </w:pPr>
      <w:r>
        <w:rPr>
          <w:color w:val="000000" w:themeColor="text1"/>
          <w:kern w:val="0"/>
          <w:sz w:val="24"/>
          <w14:textFill>
            <w14:solidFill>
              <w14:schemeClr w14:val="tx1"/>
            </w14:solidFill>
          </w14:textFill>
        </w:rPr>
        <w:br w:type="page"/>
      </w:r>
      <w:r>
        <w:rPr>
          <w:color w:val="000000" w:themeColor="text1"/>
          <w14:textFill>
            <w14:solidFill>
              <w14:schemeClr w14:val="tx1"/>
            </w14:solidFill>
          </w14:textFill>
        </w:rPr>
        <w:t>三、法定代表人资格证明书</w:t>
      </w:r>
    </w:p>
    <w:p>
      <w:pPr>
        <w:spacing w:line="360" w:lineRule="auto"/>
        <w:rPr>
          <w:bCs/>
          <w:color w:val="000000" w:themeColor="text1"/>
          <w:sz w:val="24"/>
          <w14:textFill>
            <w14:solidFill>
              <w14:schemeClr w14:val="tx1"/>
            </w14:solidFill>
          </w14:textFill>
        </w:rPr>
      </w:pPr>
    </w:p>
    <w:p>
      <w:pPr>
        <w:snapToGrid w:val="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单位名称：</w:t>
      </w:r>
    </w:p>
    <w:p>
      <w:pPr>
        <w:snapToGrid w:val="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地址：</w:t>
      </w:r>
    </w:p>
    <w:p>
      <w:pPr>
        <w:snapToGrid w:val="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姓名：性别：年龄：职务：</w:t>
      </w:r>
    </w:p>
    <w:p>
      <w:pPr>
        <w:snapToGrid w:val="0"/>
        <w:ind w:firstLine="1080" w:firstLineChars="450"/>
        <w:rPr>
          <w:bCs/>
          <w:color w:val="000000" w:themeColor="text1"/>
          <w:sz w:val="24"/>
          <w:u w:val="single"/>
          <w14:textFill>
            <w14:solidFill>
              <w14:schemeClr w14:val="tx1"/>
            </w14:solidFill>
          </w14:textFill>
        </w:rPr>
      </w:pPr>
    </w:p>
    <w:p>
      <w:pPr>
        <w:snapToGrid w:val="0"/>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系的法定代表人。为维护的项目，签署上述项目的投标文件、进行合同投标、签署合同和处理与之有关的一切事务。</w:t>
      </w:r>
    </w:p>
    <w:p>
      <w:pPr>
        <w:snapToGrid w:val="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特此证明</w:t>
      </w:r>
    </w:p>
    <w:p>
      <w:pPr>
        <w:snapToGrid w:val="0"/>
        <w:rPr>
          <w:color w:val="000000" w:themeColor="text1"/>
          <w:sz w:val="24"/>
          <w14:textFill>
            <w14:solidFill>
              <w14:schemeClr w14:val="tx1"/>
            </w14:solidFill>
          </w14:textFill>
        </w:rPr>
      </w:pPr>
    </w:p>
    <w:p>
      <w:pPr>
        <w:snapToGrid w:val="0"/>
        <w:ind w:right="1273" w:rightChars="606" w:firstLine="5040" w:firstLineChars="210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供应商（盖章）：</w:t>
      </w:r>
    </w:p>
    <w:p>
      <w:pPr>
        <w:snapToGrid w:val="0"/>
        <w:ind w:right="-1" w:firstLine="5040" w:firstLineChars="2100"/>
        <w:jc w:val="right"/>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日期：</w:t>
      </w:r>
      <w:r>
        <w:rPr>
          <w:rFonts w:hint="eastAsia"/>
          <w:bCs/>
          <w:color w:val="000000" w:themeColor="text1"/>
          <w:sz w:val="24"/>
          <w14:textFill>
            <w14:solidFill>
              <w14:schemeClr w14:val="tx1"/>
            </w14:solidFill>
          </w14:textFill>
        </w:rPr>
        <w:t xml:space="preserve"> </w:t>
      </w:r>
      <w:r>
        <w:rPr>
          <w:bCs/>
          <w:color w:val="000000" w:themeColor="text1"/>
          <w:sz w:val="24"/>
          <w14:textFill>
            <w14:solidFill>
              <w14:schemeClr w14:val="tx1"/>
            </w14:solidFill>
          </w14:textFill>
        </w:rPr>
        <w:t>年</w:t>
      </w:r>
      <w:r>
        <w:rPr>
          <w:rFonts w:hint="eastAsia"/>
          <w:bCs/>
          <w:color w:val="000000" w:themeColor="text1"/>
          <w:sz w:val="24"/>
          <w14:textFill>
            <w14:solidFill>
              <w14:schemeClr w14:val="tx1"/>
            </w14:solidFill>
          </w14:textFill>
        </w:rPr>
        <w:t xml:space="preserve"> </w:t>
      </w:r>
      <w:r>
        <w:rPr>
          <w:bCs/>
          <w:color w:val="000000" w:themeColor="text1"/>
          <w:sz w:val="24"/>
          <w14:textFill>
            <w14:solidFill>
              <w14:schemeClr w14:val="tx1"/>
            </w14:solidFill>
          </w14:textFill>
        </w:rPr>
        <w:t>月</w:t>
      </w:r>
      <w:r>
        <w:rPr>
          <w:rFonts w:hint="eastAsia"/>
          <w:bCs/>
          <w:color w:val="000000" w:themeColor="text1"/>
          <w:sz w:val="24"/>
          <w14:textFill>
            <w14:solidFill>
              <w14:schemeClr w14:val="tx1"/>
            </w14:solidFill>
          </w14:textFill>
        </w:rPr>
        <w:t xml:space="preserve"> </w:t>
      </w:r>
      <w:r>
        <w:rPr>
          <w:bCs/>
          <w:color w:val="000000" w:themeColor="text1"/>
          <w:sz w:val="24"/>
          <w14:textFill>
            <w14:solidFill>
              <w14:schemeClr w14:val="tx1"/>
            </w14:solidFill>
          </w14:textFill>
        </w:rPr>
        <w:t>日</w:t>
      </w:r>
    </w:p>
    <w:p>
      <w:pPr>
        <w:snapToGrid w:val="0"/>
        <w:ind w:firstLine="4080" w:firstLineChars="1700"/>
        <w:rPr>
          <w:bCs/>
          <w:color w:val="000000" w:themeColor="text1"/>
          <w:sz w:val="24"/>
          <w14:textFill>
            <w14:solidFill>
              <w14:schemeClr w14:val="tx1"/>
            </w14:solidFill>
          </w14:textFill>
        </w:rPr>
      </w:pPr>
    </w:p>
    <w:p>
      <w:pPr>
        <w:snapToGrid w:val="0"/>
        <w:ind w:left="735" w:hanging="735" w:hangingChars="35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说明：1. 本证明书要求投标人提供</w:t>
      </w:r>
      <w:r>
        <w:rPr>
          <w:b/>
          <w:bCs/>
          <w:color w:val="000000" w:themeColor="text1"/>
          <w:szCs w:val="21"/>
          <w14:textFill>
            <w14:solidFill>
              <w14:schemeClr w14:val="tx1"/>
            </w14:solidFill>
          </w14:textFill>
        </w:rPr>
        <w:t>加盖公章</w:t>
      </w:r>
      <w:r>
        <w:rPr>
          <w:bCs/>
          <w:color w:val="000000" w:themeColor="text1"/>
          <w:szCs w:val="21"/>
          <w14:textFill>
            <w14:solidFill>
              <w14:schemeClr w14:val="tx1"/>
            </w14:solidFill>
          </w14:textFill>
        </w:rPr>
        <w:t>后的原件方为有效。</w:t>
      </w:r>
    </w:p>
    <w:p>
      <w:pPr>
        <w:snapToGrid w:val="0"/>
        <w:ind w:left="823" w:leftChars="342" w:hanging="105" w:hangingChars="5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2. 须提供法定代表人的身份证复印件（附后）。</w:t>
      </w:r>
    </w:p>
    <w:p>
      <w:pPr>
        <w:spacing w:line="360" w:lineRule="auto"/>
        <w:rPr>
          <w:bCs/>
          <w:color w:val="000000" w:themeColor="text1"/>
          <w:sz w:val="24"/>
          <w14:textFill>
            <w14:solidFill>
              <w14:schemeClr w14:val="tx1"/>
            </w14:solidFill>
          </w14:textFill>
        </w:rPr>
      </w:pPr>
    </w:p>
    <w:p>
      <w:pPr>
        <w:pStyle w:val="3"/>
        <w:spacing w:before="120" w:after="120"/>
        <w:jc w:val="center"/>
        <w:rPr>
          <w:b w:val="0"/>
          <w:color w:val="000000" w:themeColor="text1"/>
          <w:sz w:val="28"/>
          <w14:textFill>
            <w14:solidFill>
              <w14:schemeClr w14:val="tx1"/>
            </w14:solidFill>
          </w14:textFill>
        </w:rPr>
      </w:pPr>
      <w:r>
        <w:rPr>
          <w:color w:val="000000" w:themeColor="text1"/>
          <w14:textFill>
            <w14:solidFill>
              <w14:schemeClr w14:val="tx1"/>
            </w14:solidFill>
          </w14:textFill>
        </w:rPr>
        <w:t>四、法定代表人授权书</w:t>
      </w:r>
    </w:p>
    <w:p>
      <w:pPr>
        <w:rPr>
          <w:bCs/>
          <w:color w:val="000000" w:themeColor="text1"/>
          <w:sz w:val="24"/>
          <w14:textFill>
            <w14:solidFill>
              <w14:schemeClr w14:val="tx1"/>
            </w14:solidFill>
          </w14:textFill>
        </w:rPr>
      </w:pPr>
    </w:p>
    <w:p>
      <w:pPr>
        <w:rPr>
          <w:bCs/>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rFonts w:hint="eastAsia"/>
          <w:bCs/>
          <w:color w:val="000000" w:themeColor="text1"/>
          <w:sz w:val="24"/>
          <w14:textFill>
            <w14:solidFill>
              <w14:schemeClr w14:val="tx1"/>
            </w14:solidFill>
          </w14:textFill>
        </w:rPr>
        <w:t>哈尔滨工业大学（深圳）</w:t>
      </w:r>
      <w:r>
        <w:rPr>
          <w:bCs/>
          <w:color w:val="000000" w:themeColor="text1"/>
          <w:sz w:val="24"/>
          <w14:textFill>
            <w14:solidFill>
              <w14:schemeClr w14:val="tx1"/>
            </w14:solidFill>
          </w14:textFill>
        </w:rPr>
        <w:t>：</w:t>
      </w:r>
    </w:p>
    <w:p>
      <w:pPr>
        <w:rPr>
          <w:bCs/>
          <w:color w:val="000000" w:themeColor="text1"/>
          <w:sz w:val="24"/>
          <w14:textFill>
            <w14:solidFill>
              <w14:schemeClr w14:val="tx1"/>
            </w14:solidFill>
          </w14:textFill>
        </w:rPr>
      </w:pPr>
    </w:p>
    <w:p>
      <w:pPr>
        <w:rPr>
          <w:bCs/>
          <w:color w:val="000000" w:themeColor="text1"/>
          <w:sz w:val="24"/>
          <w14:textFill>
            <w14:solidFill>
              <w14:schemeClr w14:val="tx1"/>
            </w14:solidFill>
          </w14:textFill>
        </w:rPr>
      </w:pPr>
      <w:r>
        <w:rPr>
          <w:bCs/>
          <w:color w:val="000000" w:themeColor="text1"/>
          <w:sz w:val="24"/>
          <w:u w:val="single"/>
          <w14:textFill>
            <w14:solidFill>
              <w14:schemeClr w14:val="tx1"/>
            </w14:solidFill>
          </w14:textFill>
        </w:rPr>
        <w:t>（投标人全称）</w:t>
      </w:r>
      <w:r>
        <w:rPr>
          <w:bCs/>
          <w:color w:val="000000" w:themeColor="text1"/>
          <w:sz w:val="24"/>
          <w14:textFill>
            <w14:solidFill>
              <w14:schemeClr w14:val="tx1"/>
            </w14:solidFill>
          </w14:textFill>
        </w:rPr>
        <w:t>法定代表人</w:t>
      </w:r>
      <w:r>
        <w:rPr>
          <w:bCs/>
          <w:color w:val="000000" w:themeColor="text1"/>
          <w:sz w:val="24"/>
          <w:u w:val="single"/>
          <w14:textFill>
            <w14:solidFill>
              <w14:schemeClr w14:val="tx1"/>
            </w14:solidFill>
          </w14:textFill>
        </w:rPr>
        <w:t>（姓名、职务）</w:t>
      </w:r>
      <w:r>
        <w:rPr>
          <w:bCs/>
          <w:color w:val="000000" w:themeColor="text1"/>
          <w:sz w:val="24"/>
          <w14:textFill>
            <w14:solidFill>
              <w14:schemeClr w14:val="tx1"/>
            </w14:solidFill>
          </w14:textFill>
        </w:rPr>
        <w:t>授权</w:t>
      </w:r>
      <w:r>
        <w:rPr>
          <w:bCs/>
          <w:color w:val="000000" w:themeColor="text1"/>
          <w:sz w:val="24"/>
          <w:u w:val="single"/>
          <w14:textFill>
            <w14:solidFill>
              <w14:schemeClr w14:val="tx1"/>
            </w14:solidFill>
          </w14:textFill>
        </w:rPr>
        <w:t>（被授权代表姓名、职务）</w:t>
      </w:r>
      <w:r>
        <w:rPr>
          <w:bCs/>
          <w:color w:val="000000" w:themeColor="text1"/>
          <w:sz w:val="24"/>
          <w14:textFill>
            <w14:solidFill>
              <w14:schemeClr w14:val="tx1"/>
            </w14:solidFill>
          </w14:textFill>
        </w:rPr>
        <w:t>为本公司合法代理人，参加贵</w:t>
      </w:r>
      <w:r>
        <w:rPr>
          <w:rFonts w:hint="eastAsia"/>
          <w:bCs/>
          <w:color w:val="000000" w:themeColor="text1"/>
          <w:sz w:val="24"/>
          <w14:textFill>
            <w14:solidFill>
              <w14:schemeClr w14:val="tx1"/>
            </w14:solidFill>
          </w14:textFill>
        </w:rPr>
        <w:t>处</w:t>
      </w:r>
      <w:r>
        <w:rPr>
          <w:bCs/>
          <w:color w:val="000000" w:themeColor="text1"/>
          <w:sz w:val="24"/>
          <w14:textFill>
            <w14:solidFill>
              <w14:schemeClr w14:val="tx1"/>
            </w14:solidFill>
          </w14:textFill>
        </w:rPr>
        <w:t>组织的</w:t>
      </w:r>
      <w:r>
        <w:rPr>
          <w:bCs/>
          <w:color w:val="000000" w:themeColor="text1"/>
          <w:sz w:val="24"/>
          <w:u w:val="single"/>
          <w14:textFill>
            <w14:solidFill>
              <w14:schemeClr w14:val="tx1"/>
            </w14:solidFill>
          </w14:textFill>
        </w:rPr>
        <w:t xml:space="preserve">   (项目名称)（项目编号）</w:t>
      </w:r>
      <w:r>
        <w:rPr>
          <w:bCs/>
          <w:color w:val="000000" w:themeColor="text1"/>
          <w:sz w:val="24"/>
          <w14:textFill>
            <w14:solidFill>
              <w14:schemeClr w14:val="tx1"/>
            </w14:solidFill>
          </w14:textFill>
        </w:rPr>
        <w:t>项目的招标投标活动，代表本公司处理招标投标活动中的一切事宜。包括但不限于：投标、参与开标、谈判、签约等。投标人代表在投标过程中所签署的一切文件和处理与之有关的一切事务，本公司均予以认可并对此承担责任。投标人代表无转委权。特此授权。</w:t>
      </w:r>
    </w:p>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本授权书于</w:t>
      </w:r>
      <w:r>
        <w:rPr>
          <w:rFonts w:hint="eastAsia"/>
          <w:bCs/>
          <w:color w:val="000000" w:themeColor="text1"/>
          <w:sz w:val="24"/>
          <w14:textFill>
            <w14:solidFill>
              <w14:schemeClr w14:val="tx1"/>
            </w14:solidFill>
          </w14:textFill>
        </w:rPr>
        <w:t xml:space="preserve"> </w:t>
      </w:r>
      <w:r>
        <w:rPr>
          <w:bCs/>
          <w:color w:val="000000" w:themeColor="text1"/>
          <w:sz w:val="24"/>
          <w14:textFill>
            <w14:solidFill>
              <w14:schemeClr w14:val="tx1"/>
            </w14:solidFill>
          </w14:textFill>
        </w:rPr>
        <w:t>年</w:t>
      </w:r>
      <w:r>
        <w:rPr>
          <w:rFonts w:hint="eastAsia"/>
          <w:bCs/>
          <w:color w:val="000000" w:themeColor="text1"/>
          <w:sz w:val="24"/>
          <w14:textFill>
            <w14:solidFill>
              <w14:schemeClr w14:val="tx1"/>
            </w14:solidFill>
          </w14:textFill>
        </w:rPr>
        <w:t xml:space="preserve"> </w:t>
      </w:r>
      <w:r>
        <w:rPr>
          <w:bCs/>
          <w:color w:val="000000" w:themeColor="text1"/>
          <w:sz w:val="24"/>
          <w14:textFill>
            <w14:solidFill>
              <w14:schemeClr w14:val="tx1"/>
            </w14:solidFill>
          </w14:textFill>
        </w:rPr>
        <w:t>月</w:t>
      </w:r>
      <w:r>
        <w:rPr>
          <w:rFonts w:hint="eastAsia"/>
          <w:bCs/>
          <w:color w:val="000000" w:themeColor="text1"/>
          <w:sz w:val="24"/>
          <w14:textFill>
            <w14:solidFill>
              <w14:schemeClr w14:val="tx1"/>
            </w14:solidFill>
          </w14:textFill>
        </w:rPr>
        <w:t xml:space="preserve"> </w:t>
      </w:r>
      <w:r>
        <w:rPr>
          <w:bCs/>
          <w:color w:val="000000" w:themeColor="text1"/>
          <w:sz w:val="24"/>
          <w14:textFill>
            <w14:solidFill>
              <w14:schemeClr w14:val="tx1"/>
            </w14:solidFill>
          </w14:textFill>
        </w:rPr>
        <w:t>日签字生效，特此声明。</w:t>
      </w:r>
    </w:p>
    <w:p>
      <w:pPr>
        <w:rPr>
          <w:bCs/>
          <w:color w:val="000000" w:themeColor="text1"/>
          <w:sz w:val="24"/>
          <w14:textFill>
            <w14:solidFill>
              <w14:schemeClr w14:val="tx1"/>
            </w14:solidFill>
          </w14:textFill>
        </w:rPr>
      </w:pPr>
    </w:p>
    <w:p>
      <w:pPr>
        <w:ind w:firstLine="120" w:firstLineChars="50"/>
        <w:rPr>
          <w:bCs/>
          <w:color w:val="000000" w:themeColor="text1"/>
          <w:sz w:val="24"/>
          <w:u w:val="single"/>
          <w14:textFill>
            <w14:solidFill>
              <w14:schemeClr w14:val="tx1"/>
            </w14:solidFill>
          </w14:textFill>
        </w:rPr>
      </w:pPr>
      <w:r>
        <w:rPr>
          <w:bCs/>
          <w:color w:val="000000" w:themeColor="text1"/>
          <w:sz w:val="24"/>
          <w14:textFill>
            <w14:solidFill>
              <w14:schemeClr w14:val="tx1"/>
            </w14:solidFill>
          </w14:textFill>
        </w:rPr>
        <w:t>被授权人：职务：</w:t>
      </w:r>
    </w:p>
    <w:p>
      <w:pPr>
        <w:ind w:firstLine="120" w:firstLineChars="50"/>
        <w:rPr>
          <w:bCs/>
          <w:color w:val="000000" w:themeColor="text1"/>
          <w:sz w:val="24"/>
          <w:u w:val="single"/>
          <w14:textFill>
            <w14:solidFill>
              <w14:schemeClr w14:val="tx1"/>
            </w14:solidFill>
          </w14:textFill>
        </w:rPr>
      </w:pPr>
      <w:r>
        <w:rPr>
          <w:bCs/>
          <w:color w:val="000000" w:themeColor="text1"/>
          <w:sz w:val="24"/>
          <w14:textFill>
            <w14:solidFill>
              <w14:schemeClr w14:val="tx1"/>
            </w14:solidFill>
          </w14:textFill>
        </w:rPr>
        <w:t>联系电话：手机：</w:t>
      </w:r>
    </w:p>
    <w:p>
      <w:pPr>
        <w:ind w:firstLine="120" w:firstLineChars="5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身份证号码：</w:t>
      </w:r>
    </w:p>
    <w:p>
      <w:pPr>
        <w:ind w:firstLine="120" w:firstLineChars="50"/>
        <w:rPr>
          <w:bCs/>
          <w:color w:val="000000" w:themeColor="text1"/>
          <w:sz w:val="24"/>
          <w:u w:val="single"/>
          <w14:textFill>
            <w14:solidFill>
              <w14:schemeClr w14:val="tx1"/>
            </w14:solidFill>
          </w14:textFill>
        </w:rPr>
      </w:pPr>
      <w:r>
        <w:rPr>
          <w:bCs/>
          <w:color w:val="000000" w:themeColor="text1"/>
          <w:sz w:val="24"/>
          <w14:textFill>
            <w14:solidFill>
              <w14:schemeClr w14:val="tx1"/>
            </w14:solidFill>
          </w14:textFill>
        </w:rPr>
        <w:t>投标人（盖章）：</w:t>
      </w:r>
    </w:p>
    <w:p>
      <w:pPr>
        <w:ind w:firstLine="120" w:firstLineChars="50"/>
        <w:rPr>
          <w:bCs/>
          <w:color w:val="000000" w:themeColor="text1"/>
          <w:sz w:val="24"/>
          <w:u w:val="single"/>
          <w14:textFill>
            <w14:solidFill>
              <w14:schemeClr w14:val="tx1"/>
            </w14:solidFill>
          </w14:textFill>
        </w:rPr>
      </w:pPr>
      <w:r>
        <w:rPr>
          <w:bCs/>
          <w:color w:val="000000" w:themeColor="text1"/>
          <w:sz w:val="24"/>
          <w14:textFill>
            <w14:solidFill>
              <w14:schemeClr w14:val="tx1"/>
            </w14:solidFill>
          </w14:textFill>
        </w:rPr>
        <w:t>法定代表人（签名）：</w:t>
      </w:r>
    </w:p>
    <w:p>
      <w:pPr>
        <w:ind w:firstLine="120" w:firstLineChars="50"/>
        <w:rPr>
          <w:bCs/>
          <w:color w:val="000000" w:themeColor="text1"/>
          <w:sz w:val="24"/>
          <w:u w:val="single"/>
          <w14:textFill>
            <w14:solidFill>
              <w14:schemeClr w14:val="tx1"/>
            </w14:solidFill>
          </w14:textFill>
        </w:rPr>
      </w:pPr>
      <w:r>
        <w:rPr>
          <w:bCs/>
          <w:color w:val="000000" w:themeColor="text1"/>
          <w:sz w:val="24"/>
          <w14:textFill>
            <w14:solidFill>
              <w14:schemeClr w14:val="tx1"/>
            </w14:solidFill>
          </w14:textFill>
        </w:rPr>
        <w:t>被授权人（签名）：</w:t>
      </w:r>
    </w:p>
    <w:p>
      <w:pPr>
        <w:rPr>
          <w:bCs/>
          <w:color w:val="000000" w:themeColor="text1"/>
          <w:sz w:val="24"/>
          <w14:textFill>
            <w14:solidFill>
              <w14:schemeClr w14:val="tx1"/>
            </w14:solidFill>
          </w14:textFill>
        </w:rPr>
      </w:pPr>
    </w:p>
    <w:p>
      <w:pP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说明：1.本授权委托书要求投标人提供有</w:t>
      </w:r>
      <w:r>
        <w:rPr>
          <w:b/>
          <w:bCs/>
          <w:color w:val="000000" w:themeColor="text1"/>
          <w:szCs w:val="21"/>
          <w14:textFill>
            <w14:solidFill>
              <w14:schemeClr w14:val="tx1"/>
            </w14:solidFill>
          </w14:textFill>
        </w:rPr>
        <w:t>代理人签字、法定代表人的签字（或盖私章）和加盖公章</w:t>
      </w:r>
      <w:r>
        <w:rPr>
          <w:bCs/>
          <w:color w:val="000000" w:themeColor="text1"/>
          <w:szCs w:val="21"/>
          <w14:textFill>
            <w14:solidFill>
              <w14:schemeClr w14:val="tx1"/>
            </w14:solidFill>
          </w14:textFill>
        </w:rPr>
        <w:t>后的原件方为有效；</w:t>
      </w:r>
    </w:p>
    <w:p>
      <w:pPr>
        <w:ind w:firstLine="630" w:firstLineChars="3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2.提供代理人的身份证复印件（附后）。</w:t>
      </w:r>
    </w:p>
    <w:p>
      <w:pPr>
        <w:pStyle w:val="3"/>
        <w:spacing w:before="120" w:after="120"/>
        <w:jc w:val="center"/>
        <w:rPr>
          <w:color w:val="000000" w:themeColor="text1"/>
          <w14:textFill>
            <w14:solidFill>
              <w14:schemeClr w14:val="tx1"/>
            </w14:solidFill>
          </w14:textFill>
        </w:rPr>
      </w:pPr>
      <w:r>
        <w:rPr>
          <w:color w:val="000000" w:themeColor="text1"/>
          <w14:textFill>
            <w14:solidFill>
              <w14:schemeClr w14:val="tx1"/>
            </w14:solidFill>
          </w14:textFill>
        </w:rPr>
        <w:br w:type="page"/>
      </w:r>
      <w:r>
        <w:rPr>
          <w:color w:val="000000" w:themeColor="text1"/>
          <w14:textFill>
            <w14:solidFill>
              <w14:schemeClr w14:val="tx1"/>
            </w14:solidFill>
          </w14:textFill>
        </w:rPr>
        <w:t>五、投标函</w:t>
      </w:r>
    </w:p>
    <w:p>
      <w:pPr>
        <w:pStyle w:val="5"/>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投标函</w:t>
      </w:r>
    </w:p>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致：</w:t>
      </w:r>
      <w:r>
        <w:rPr>
          <w:rFonts w:hint="eastAsia"/>
          <w:color w:val="000000" w:themeColor="text1"/>
          <w:szCs w:val="21"/>
          <w14:textFill>
            <w14:solidFill>
              <w14:schemeClr w14:val="tx1"/>
            </w14:solidFill>
          </w14:textFill>
        </w:rPr>
        <w:t>哈尔滨工业大学（深圳）</w:t>
      </w:r>
    </w:p>
    <w:p>
      <w:pPr>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根据贵方</w:t>
      </w:r>
      <w:r>
        <w:rPr>
          <w:color w:val="000000" w:themeColor="text1"/>
          <w:szCs w:val="21"/>
          <w:u w:val="single"/>
          <w14:textFill>
            <w14:solidFill>
              <w14:schemeClr w14:val="tx1"/>
            </w14:solidFill>
          </w14:textFill>
        </w:rPr>
        <w:t>（项目名称）</w:t>
      </w:r>
      <w:r>
        <w:rPr>
          <w:color w:val="000000" w:themeColor="text1"/>
          <w:szCs w:val="21"/>
          <w14:textFill>
            <w14:solidFill>
              <w14:schemeClr w14:val="tx1"/>
            </w14:solidFill>
          </w14:textFill>
        </w:rPr>
        <w:t>的招标公告</w:t>
      </w:r>
      <w:r>
        <w:rPr>
          <w:color w:val="000000" w:themeColor="text1"/>
          <w:szCs w:val="21"/>
          <w:u w:val="single"/>
          <w14:textFill>
            <w14:solidFill>
              <w14:schemeClr w14:val="tx1"/>
            </w14:solidFill>
          </w14:textFill>
        </w:rPr>
        <w:t>（项目编号为）</w:t>
      </w:r>
      <w:r>
        <w:rPr>
          <w:color w:val="000000" w:themeColor="text1"/>
          <w:szCs w:val="21"/>
          <w14:textFill>
            <w14:solidFill>
              <w14:schemeClr w14:val="tx1"/>
            </w14:solidFill>
          </w14:textFill>
        </w:rPr>
        <w:t>，本人经我方法定代表人授权正式代表投标人（投标人的名称），提交唱标信封1份及投标文件正本</w:t>
      </w: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份，副本</w:t>
      </w: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份，</w:t>
      </w:r>
      <w:r>
        <w:rPr>
          <w:color w:val="000000" w:themeColor="text1"/>
          <w:kern w:val="0"/>
          <w:szCs w:val="21"/>
          <w14:textFill>
            <w14:solidFill>
              <w14:schemeClr w14:val="tx1"/>
            </w14:solidFill>
          </w14:textFill>
        </w:rPr>
        <w:t>附有投标文件电子文档的光盘</w:t>
      </w:r>
      <w:r>
        <w:rPr>
          <w:color w:val="000000" w:themeColor="text1"/>
          <w:szCs w:val="21"/>
          <w14:textFill>
            <w14:solidFill>
              <w14:schemeClr w14:val="tx1"/>
            </w14:solidFill>
          </w14:textFill>
        </w:rPr>
        <w:t>。</w:t>
      </w:r>
    </w:p>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据此函，本人代表投标方保证，所提供的全部资料是真实的。本人承诺：</w:t>
      </w:r>
    </w:p>
    <w:p>
      <w:pPr>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（1）我方愿以开标一览表中的投标报价并按招标文件要求承包上述项目并修补其任何缺陷；</w:t>
      </w:r>
    </w:p>
    <w:p>
      <w:pPr>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（2）我方承担根据招标文件的规定，完成合同的责任和义务。</w:t>
      </w:r>
    </w:p>
    <w:p>
      <w:pPr>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（3）我方已详细阅读了全部招标文件，包括招标文件修改书（如果有的话），参考资料及有关附件，我们完全理解并同意放弃对这方面有不清楚或误解的问题和质疑投诉的权利。</w:t>
      </w:r>
    </w:p>
    <w:p>
      <w:pPr>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（4）我方同意所递交的投标文件在“关键信息-项目信息”规定的投标有效期内有效，在此期间内我方的投标有可能中标，我方将受此约束。如果在投标有效期内撤回其投标，</w:t>
      </w:r>
      <w:r>
        <w:rPr>
          <w:rFonts w:hint="eastAsia"/>
          <w:color w:val="000000" w:themeColor="text1"/>
          <w:szCs w:val="21"/>
          <w14:textFill>
            <w14:solidFill>
              <w14:schemeClr w14:val="tx1"/>
            </w14:solidFill>
          </w14:textFill>
        </w:rPr>
        <w:t>一切责任由我方承担</w:t>
      </w:r>
      <w:r>
        <w:rPr>
          <w:color w:val="000000" w:themeColor="text1"/>
          <w:szCs w:val="21"/>
          <w14:textFill>
            <w14:solidFill>
              <w14:schemeClr w14:val="tx1"/>
            </w14:solidFill>
          </w14:textFill>
        </w:rPr>
        <w:t>。</w:t>
      </w:r>
    </w:p>
    <w:p>
      <w:pPr>
        <w:spacing w:after="156" w:afterLines="50"/>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（5）除非另外达成协议并生效，贵方的中标通知书和本投标文件将构成约束我们双方的合同。</w:t>
      </w:r>
    </w:p>
    <w:p>
      <w:pPr>
        <w:spacing w:after="156" w:afterLines="50"/>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（6）同意向贵方提供贵方可能要求的与本投标有关的任何证据或资料。</w:t>
      </w:r>
    </w:p>
    <w:p>
      <w:pPr>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（7）我方完全理解贵方不一定要接受最低报价的投标或收到的任何投标。</w:t>
      </w:r>
    </w:p>
    <w:p>
      <w:pPr>
        <w:ind w:firstLine="420" w:firstLineChars="200"/>
        <w:rPr>
          <w:color w:val="000000" w:themeColor="text1"/>
          <w:szCs w:val="21"/>
          <w:u w:val="single"/>
          <w14:textFill>
            <w14:solidFill>
              <w14:schemeClr w14:val="tx1"/>
            </w14:solidFill>
          </w14:textFill>
        </w:rPr>
      </w:pPr>
    </w:p>
    <w:p>
      <w:pPr>
        <w:ind w:firstLine="5075" w:firstLineChars="2417"/>
        <w:rPr>
          <w:color w:val="000000" w:themeColor="text1"/>
          <w:szCs w:val="21"/>
          <w14:textFill>
            <w14:solidFill>
              <w14:schemeClr w14:val="tx1"/>
            </w14:solidFill>
          </w14:textFill>
        </w:rPr>
      </w:pPr>
    </w:p>
    <w:p>
      <w:pPr>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与本投标有关的正式通信方式：</w:t>
      </w:r>
    </w:p>
    <w:p>
      <w:pPr>
        <w:ind w:firstLine="420" w:firstLineChars="200"/>
        <w:rPr>
          <w:color w:val="000000" w:themeColor="text1"/>
          <w:szCs w:val="21"/>
          <w:u w:val="single"/>
          <w14:textFill>
            <w14:solidFill>
              <w14:schemeClr w14:val="tx1"/>
            </w14:solidFill>
          </w14:textFill>
        </w:rPr>
      </w:pPr>
      <w:r>
        <w:rPr>
          <w:color w:val="000000" w:themeColor="text1"/>
          <w:szCs w:val="21"/>
          <w14:textFill>
            <w14:solidFill>
              <w14:schemeClr w14:val="tx1"/>
            </w14:solidFill>
          </w14:textFill>
        </w:rPr>
        <w:t>地址：邮政编码：</w:t>
      </w:r>
    </w:p>
    <w:p>
      <w:pPr>
        <w:ind w:firstLine="420" w:firstLineChars="200"/>
        <w:rPr>
          <w:color w:val="000000" w:themeColor="text1"/>
          <w:szCs w:val="21"/>
          <w:u w:val="single"/>
          <w14:textFill>
            <w14:solidFill>
              <w14:schemeClr w14:val="tx1"/>
            </w14:solidFill>
          </w14:textFill>
        </w:rPr>
      </w:pPr>
      <w:r>
        <w:rPr>
          <w:color w:val="000000" w:themeColor="text1"/>
          <w:szCs w:val="21"/>
          <w14:textFill>
            <w14:solidFill>
              <w14:schemeClr w14:val="tx1"/>
            </w14:solidFill>
          </w14:textFill>
        </w:rPr>
        <w:t>电话、手机、传真或电传：</w:t>
      </w:r>
    </w:p>
    <w:p>
      <w:pPr>
        <w:ind w:firstLine="420" w:firstLineChars="200"/>
        <w:rPr>
          <w:color w:val="000000" w:themeColor="text1"/>
          <w:szCs w:val="21"/>
          <w:u w:val="single"/>
          <w14:textFill>
            <w14:solidFill>
              <w14:schemeClr w14:val="tx1"/>
            </w14:solidFill>
          </w14:textFill>
        </w:rPr>
      </w:pPr>
      <w:r>
        <w:rPr>
          <w:color w:val="000000" w:themeColor="text1"/>
          <w:szCs w:val="21"/>
          <w14:textFill>
            <w14:solidFill>
              <w14:schemeClr w14:val="tx1"/>
            </w14:solidFill>
          </w14:textFill>
        </w:rPr>
        <w:t>开户银行名称：开户银行</w:t>
      </w:r>
      <w:r>
        <w:rPr>
          <w:rFonts w:hint="eastAsia"/>
          <w:color w:val="000000" w:themeColor="text1"/>
          <w:szCs w:val="21"/>
          <w:lang w:eastAsia="zh-CN"/>
          <w14:textFill>
            <w14:solidFill>
              <w14:schemeClr w14:val="tx1"/>
            </w14:solidFill>
          </w14:textFill>
        </w:rPr>
        <w:t>账号</w:t>
      </w:r>
      <w:r>
        <w:rPr>
          <w:color w:val="000000" w:themeColor="text1"/>
          <w:szCs w:val="21"/>
          <w14:textFill>
            <w14:solidFill>
              <w14:schemeClr w14:val="tx1"/>
            </w14:solidFill>
          </w14:textFill>
        </w:rPr>
        <w:t>：</w:t>
      </w:r>
    </w:p>
    <w:p>
      <w:pPr>
        <w:ind w:firstLine="420" w:firstLineChars="200"/>
        <w:rPr>
          <w:color w:val="000000" w:themeColor="text1"/>
          <w:szCs w:val="21"/>
          <w:u w:val="single"/>
          <w14:textFill>
            <w14:solidFill>
              <w14:schemeClr w14:val="tx1"/>
            </w14:solidFill>
          </w14:textFill>
        </w:rPr>
      </w:pPr>
      <w:r>
        <w:rPr>
          <w:color w:val="000000" w:themeColor="text1"/>
          <w:szCs w:val="21"/>
          <w14:textFill>
            <w14:solidFill>
              <w14:schemeClr w14:val="tx1"/>
            </w14:solidFill>
          </w14:textFill>
        </w:rPr>
        <w:t>开户银行地址：开户银行电话：</w:t>
      </w:r>
    </w:p>
    <w:p>
      <w:pPr>
        <w:ind w:firstLine="420" w:firstLineChars="200"/>
        <w:rPr>
          <w:color w:val="000000" w:themeColor="text1"/>
          <w:szCs w:val="21"/>
          <w:u w:val="single"/>
          <w14:textFill>
            <w14:solidFill>
              <w14:schemeClr w14:val="tx1"/>
            </w14:solidFill>
          </w14:textFill>
        </w:rPr>
      </w:pPr>
      <w:r>
        <w:rPr>
          <w:color w:val="000000" w:themeColor="text1"/>
          <w:szCs w:val="21"/>
          <w14:textFill>
            <w14:solidFill>
              <w14:schemeClr w14:val="tx1"/>
            </w14:solidFill>
          </w14:textFill>
        </w:rPr>
        <w:t>投标人代表姓名（签字）：</w:t>
      </w:r>
    </w:p>
    <w:p>
      <w:pPr>
        <w:ind w:firstLine="5075" w:firstLineChars="2417"/>
        <w:rPr>
          <w:color w:val="000000" w:themeColor="text1"/>
          <w:szCs w:val="21"/>
          <w14:textFill>
            <w14:solidFill>
              <w14:schemeClr w14:val="tx1"/>
            </w14:solidFill>
          </w14:textFill>
        </w:rPr>
      </w:pPr>
    </w:p>
    <w:p>
      <w:pPr>
        <w:ind w:right="1273" w:rightChars="606" w:firstLine="6125" w:firstLineChars="2917"/>
        <w:jc w:val="right"/>
        <w:rPr>
          <w:color w:val="000000" w:themeColor="text1"/>
          <w:szCs w:val="21"/>
          <w14:textFill>
            <w14:solidFill>
              <w14:schemeClr w14:val="tx1"/>
            </w14:solidFill>
          </w14:textFill>
        </w:rPr>
      </w:pPr>
      <w:r>
        <w:rPr>
          <w:color w:val="000000" w:themeColor="text1"/>
          <w:szCs w:val="21"/>
          <w14:textFill>
            <w14:solidFill>
              <w14:schemeClr w14:val="tx1"/>
            </w14:solidFill>
          </w14:textFill>
        </w:rPr>
        <w:t>公章：</w:t>
      </w:r>
    </w:p>
    <w:p>
      <w:pPr>
        <w:ind w:right="1273" w:rightChars="606" w:firstLine="6125" w:firstLineChars="2917"/>
        <w:jc w:val="right"/>
        <w:rPr>
          <w:color w:val="000000" w:themeColor="text1"/>
          <w:szCs w:val="21"/>
          <w14:textFill>
            <w14:solidFill>
              <w14:schemeClr w14:val="tx1"/>
            </w14:solidFill>
          </w14:textFill>
        </w:rPr>
      </w:pPr>
    </w:p>
    <w:p>
      <w:pPr>
        <w:ind w:right="-1" w:firstLine="6125" w:firstLineChars="2917"/>
        <w:jc w:val="right"/>
        <w:rPr>
          <w:color w:val="000000" w:themeColor="text1"/>
          <w:szCs w:val="21"/>
          <w14:textFill>
            <w14:solidFill>
              <w14:schemeClr w14:val="tx1"/>
            </w14:solidFill>
          </w14:textFill>
        </w:rPr>
      </w:pPr>
      <w:r>
        <w:rPr>
          <w:color w:val="000000" w:themeColor="text1"/>
          <w:szCs w:val="21"/>
          <w14:textFill>
            <w14:solidFill>
              <w14:schemeClr w14:val="tx1"/>
            </w14:solidFill>
          </w14:textFill>
        </w:rPr>
        <w:t>日期：</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年</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月</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日</w:t>
      </w:r>
    </w:p>
    <w:p>
      <w:pPr>
        <w:rPr>
          <w:color w:val="000000" w:themeColor="text1"/>
          <w14:textFill>
            <w14:solidFill>
              <w14:schemeClr w14:val="tx1"/>
            </w14:solidFill>
          </w14:textFill>
        </w:rPr>
      </w:pPr>
      <w:r>
        <w:rPr>
          <w:color w:val="000000" w:themeColor="text1"/>
          <w:szCs w:val="21"/>
          <w14:textFill>
            <w14:solidFill>
              <w14:schemeClr w14:val="tx1"/>
            </w14:solidFill>
          </w14:textFill>
        </w:rPr>
        <w:br w:type="page"/>
      </w:r>
    </w:p>
    <w:p>
      <w:pPr>
        <w:pStyle w:val="3"/>
        <w:spacing w:before="120" w:after="120"/>
        <w:jc w:val="center"/>
        <w:rPr>
          <w:bCs w:val="0"/>
          <w:color w:val="000000" w:themeColor="text1"/>
          <w:sz w:val="24"/>
          <w14:textFill>
            <w14:solidFill>
              <w14:schemeClr w14:val="tx1"/>
            </w14:solidFill>
          </w14:textFill>
        </w:rPr>
      </w:pPr>
      <w:r>
        <w:rPr>
          <w:color w:val="000000" w:themeColor="text1"/>
          <w14:textFill>
            <w14:solidFill>
              <w14:schemeClr w14:val="tx1"/>
            </w14:solidFill>
          </w14:textFill>
        </w:rPr>
        <w:t>六、分项报价清单表</w:t>
      </w:r>
    </w:p>
    <w:p>
      <w:pPr>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（一）项目报价表</w:t>
      </w:r>
    </w:p>
    <w:tbl>
      <w:tblPr>
        <w:tblStyle w:val="24"/>
        <w:tblW w:w="9540" w:type="dxa"/>
        <w:tblInd w:w="4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42" w:type="dxa"/>
          <w:bottom w:w="0" w:type="dxa"/>
          <w:right w:w="42" w:type="dxa"/>
        </w:tblCellMar>
      </w:tblPr>
      <w:tblGrid>
        <w:gridCol w:w="720"/>
        <w:gridCol w:w="3420"/>
        <w:gridCol w:w="1620"/>
        <w:gridCol w:w="1620"/>
        <w:gridCol w:w="216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69" w:hRule="atLeast"/>
        </w:trPr>
        <w:tc>
          <w:tcPr>
            <w:tcW w:w="720" w:type="dxa"/>
            <w:vAlign w:val="center"/>
          </w:tcPr>
          <w:p>
            <w:pPr>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序号</w:t>
            </w:r>
          </w:p>
        </w:tc>
        <w:tc>
          <w:tcPr>
            <w:tcW w:w="3420" w:type="dxa"/>
            <w:vAlign w:val="center"/>
          </w:tcPr>
          <w:p>
            <w:pPr>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项目内容</w:t>
            </w:r>
          </w:p>
        </w:tc>
        <w:tc>
          <w:tcPr>
            <w:tcW w:w="1620" w:type="dxa"/>
            <w:vAlign w:val="center"/>
          </w:tcPr>
          <w:p>
            <w:pPr>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单价（元）</w:t>
            </w:r>
          </w:p>
        </w:tc>
        <w:tc>
          <w:tcPr>
            <w:tcW w:w="1620" w:type="dxa"/>
            <w:tcBorders>
              <w:right w:val="single" w:color="auto" w:sz="4" w:space="0"/>
            </w:tcBorders>
            <w:vAlign w:val="center"/>
          </w:tcPr>
          <w:p>
            <w:pPr>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总价（元）</w:t>
            </w:r>
          </w:p>
        </w:tc>
        <w:tc>
          <w:tcPr>
            <w:tcW w:w="2160" w:type="dxa"/>
            <w:tcBorders>
              <w:left w:val="single" w:color="auto" w:sz="4" w:space="0"/>
            </w:tcBorders>
            <w:vAlign w:val="center"/>
          </w:tcPr>
          <w:p>
            <w:pPr>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48" w:hRule="atLeast"/>
        </w:trPr>
        <w:tc>
          <w:tcPr>
            <w:tcW w:w="720"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3420" w:type="dxa"/>
            <w:vAlign w:val="center"/>
          </w:tcPr>
          <w:p>
            <w:pPr>
              <w:rPr>
                <w:color w:val="000000" w:themeColor="text1"/>
                <w:szCs w:val="21"/>
                <w14:textFill>
                  <w14:solidFill>
                    <w14:schemeClr w14:val="tx1"/>
                  </w14:solidFill>
                </w14:textFill>
              </w:rPr>
            </w:pPr>
          </w:p>
        </w:tc>
        <w:tc>
          <w:tcPr>
            <w:tcW w:w="1620" w:type="dxa"/>
            <w:vAlign w:val="center"/>
          </w:tcPr>
          <w:p>
            <w:pPr>
              <w:rPr>
                <w:color w:val="000000" w:themeColor="text1"/>
                <w:szCs w:val="21"/>
                <w14:textFill>
                  <w14:solidFill>
                    <w14:schemeClr w14:val="tx1"/>
                  </w14:solidFill>
                </w14:textFill>
              </w:rPr>
            </w:pPr>
          </w:p>
        </w:tc>
        <w:tc>
          <w:tcPr>
            <w:tcW w:w="1620" w:type="dxa"/>
            <w:tcBorders>
              <w:right w:val="single" w:color="auto" w:sz="4" w:space="0"/>
            </w:tcBorders>
            <w:vAlign w:val="center"/>
          </w:tcPr>
          <w:p>
            <w:pPr>
              <w:rPr>
                <w:color w:val="000000" w:themeColor="text1"/>
                <w:szCs w:val="21"/>
                <w14:textFill>
                  <w14:solidFill>
                    <w14:schemeClr w14:val="tx1"/>
                  </w14:solidFill>
                </w14:textFill>
              </w:rPr>
            </w:pPr>
          </w:p>
        </w:tc>
        <w:tc>
          <w:tcPr>
            <w:tcW w:w="2160" w:type="dxa"/>
            <w:tcBorders>
              <w:left w:val="single" w:color="auto" w:sz="4" w:space="0"/>
            </w:tcBorders>
            <w:vAlign w:val="center"/>
          </w:tcPr>
          <w:p>
            <w:pPr>
              <w:rPr>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98" w:hRule="atLeast"/>
        </w:trPr>
        <w:tc>
          <w:tcPr>
            <w:tcW w:w="720"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p>
        </w:tc>
        <w:tc>
          <w:tcPr>
            <w:tcW w:w="3420" w:type="dxa"/>
            <w:vAlign w:val="center"/>
          </w:tcPr>
          <w:p>
            <w:pPr>
              <w:rPr>
                <w:color w:val="000000" w:themeColor="text1"/>
                <w:szCs w:val="21"/>
                <w14:textFill>
                  <w14:solidFill>
                    <w14:schemeClr w14:val="tx1"/>
                  </w14:solidFill>
                </w14:textFill>
              </w:rPr>
            </w:pPr>
          </w:p>
        </w:tc>
        <w:tc>
          <w:tcPr>
            <w:tcW w:w="1620" w:type="dxa"/>
            <w:vAlign w:val="center"/>
          </w:tcPr>
          <w:p>
            <w:pPr>
              <w:rPr>
                <w:color w:val="000000" w:themeColor="text1"/>
                <w:szCs w:val="21"/>
                <w14:textFill>
                  <w14:solidFill>
                    <w14:schemeClr w14:val="tx1"/>
                  </w14:solidFill>
                </w14:textFill>
              </w:rPr>
            </w:pPr>
          </w:p>
        </w:tc>
        <w:tc>
          <w:tcPr>
            <w:tcW w:w="1620" w:type="dxa"/>
            <w:tcBorders>
              <w:right w:val="single" w:color="auto" w:sz="4" w:space="0"/>
            </w:tcBorders>
            <w:vAlign w:val="center"/>
          </w:tcPr>
          <w:p>
            <w:pPr>
              <w:rPr>
                <w:color w:val="000000" w:themeColor="text1"/>
                <w:szCs w:val="21"/>
                <w14:textFill>
                  <w14:solidFill>
                    <w14:schemeClr w14:val="tx1"/>
                  </w14:solidFill>
                </w14:textFill>
              </w:rPr>
            </w:pPr>
          </w:p>
        </w:tc>
        <w:tc>
          <w:tcPr>
            <w:tcW w:w="2160" w:type="dxa"/>
            <w:tcBorders>
              <w:left w:val="single" w:color="auto" w:sz="4" w:space="0"/>
            </w:tcBorders>
            <w:vAlign w:val="center"/>
          </w:tcPr>
          <w:p>
            <w:pPr>
              <w:rPr>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98" w:hRule="atLeast"/>
        </w:trPr>
        <w:tc>
          <w:tcPr>
            <w:tcW w:w="720"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p>
        </w:tc>
        <w:tc>
          <w:tcPr>
            <w:tcW w:w="3420" w:type="dxa"/>
            <w:vAlign w:val="center"/>
          </w:tcPr>
          <w:p>
            <w:pPr>
              <w:rPr>
                <w:color w:val="000000" w:themeColor="text1"/>
                <w:szCs w:val="21"/>
                <w14:textFill>
                  <w14:solidFill>
                    <w14:schemeClr w14:val="tx1"/>
                  </w14:solidFill>
                </w14:textFill>
              </w:rPr>
            </w:pPr>
          </w:p>
        </w:tc>
        <w:tc>
          <w:tcPr>
            <w:tcW w:w="1620" w:type="dxa"/>
            <w:vAlign w:val="center"/>
          </w:tcPr>
          <w:p>
            <w:pPr>
              <w:rPr>
                <w:color w:val="000000" w:themeColor="text1"/>
                <w:szCs w:val="21"/>
                <w14:textFill>
                  <w14:solidFill>
                    <w14:schemeClr w14:val="tx1"/>
                  </w14:solidFill>
                </w14:textFill>
              </w:rPr>
            </w:pPr>
          </w:p>
        </w:tc>
        <w:tc>
          <w:tcPr>
            <w:tcW w:w="1620" w:type="dxa"/>
            <w:tcBorders>
              <w:right w:val="single" w:color="auto" w:sz="4" w:space="0"/>
            </w:tcBorders>
            <w:vAlign w:val="center"/>
          </w:tcPr>
          <w:p>
            <w:pPr>
              <w:rPr>
                <w:color w:val="000000" w:themeColor="text1"/>
                <w:szCs w:val="21"/>
                <w14:textFill>
                  <w14:solidFill>
                    <w14:schemeClr w14:val="tx1"/>
                  </w14:solidFill>
                </w14:textFill>
              </w:rPr>
            </w:pPr>
          </w:p>
        </w:tc>
        <w:tc>
          <w:tcPr>
            <w:tcW w:w="2160" w:type="dxa"/>
            <w:tcBorders>
              <w:left w:val="single" w:color="auto" w:sz="4" w:space="0"/>
            </w:tcBorders>
            <w:vAlign w:val="center"/>
          </w:tcPr>
          <w:p>
            <w:pPr>
              <w:rPr>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98" w:hRule="atLeast"/>
        </w:trPr>
        <w:tc>
          <w:tcPr>
            <w:tcW w:w="720"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p>
        </w:tc>
        <w:tc>
          <w:tcPr>
            <w:tcW w:w="3420" w:type="dxa"/>
            <w:vAlign w:val="center"/>
          </w:tcPr>
          <w:p>
            <w:pPr>
              <w:rPr>
                <w:color w:val="000000" w:themeColor="text1"/>
                <w:szCs w:val="21"/>
                <w14:textFill>
                  <w14:solidFill>
                    <w14:schemeClr w14:val="tx1"/>
                  </w14:solidFill>
                </w14:textFill>
              </w:rPr>
            </w:pPr>
          </w:p>
        </w:tc>
        <w:tc>
          <w:tcPr>
            <w:tcW w:w="1620" w:type="dxa"/>
            <w:vAlign w:val="center"/>
          </w:tcPr>
          <w:p>
            <w:pPr>
              <w:rPr>
                <w:color w:val="000000" w:themeColor="text1"/>
                <w:szCs w:val="21"/>
                <w14:textFill>
                  <w14:solidFill>
                    <w14:schemeClr w14:val="tx1"/>
                  </w14:solidFill>
                </w14:textFill>
              </w:rPr>
            </w:pPr>
          </w:p>
        </w:tc>
        <w:tc>
          <w:tcPr>
            <w:tcW w:w="1620" w:type="dxa"/>
            <w:tcBorders>
              <w:right w:val="single" w:color="auto" w:sz="4" w:space="0"/>
            </w:tcBorders>
            <w:vAlign w:val="center"/>
          </w:tcPr>
          <w:p>
            <w:pPr>
              <w:rPr>
                <w:color w:val="000000" w:themeColor="text1"/>
                <w:szCs w:val="21"/>
                <w14:textFill>
                  <w14:solidFill>
                    <w14:schemeClr w14:val="tx1"/>
                  </w14:solidFill>
                </w14:textFill>
              </w:rPr>
            </w:pPr>
          </w:p>
        </w:tc>
        <w:tc>
          <w:tcPr>
            <w:tcW w:w="2160" w:type="dxa"/>
            <w:tcBorders>
              <w:left w:val="single" w:color="auto" w:sz="4" w:space="0"/>
            </w:tcBorders>
            <w:vAlign w:val="center"/>
          </w:tcPr>
          <w:p>
            <w:pPr>
              <w:rPr>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62" w:hRule="atLeast"/>
        </w:trPr>
        <w:tc>
          <w:tcPr>
            <w:tcW w:w="720"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w:t>
            </w:r>
          </w:p>
        </w:tc>
        <w:tc>
          <w:tcPr>
            <w:tcW w:w="3420" w:type="dxa"/>
            <w:vAlign w:val="center"/>
          </w:tcPr>
          <w:p>
            <w:pPr>
              <w:rPr>
                <w:color w:val="000000" w:themeColor="text1"/>
                <w:szCs w:val="21"/>
                <w14:textFill>
                  <w14:solidFill>
                    <w14:schemeClr w14:val="tx1"/>
                  </w14:solidFill>
                </w14:textFill>
              </w:rPr>
            </w:pPr>
          </w:p>
        </w:tc>
        <w:tc>
          <w:tcPr>
            <w:tcW w:w="1620" w:type="dxa"/>
            <w:vAlign w:val="center"/>
          </w:tcPr>
          <w:p>
            <w:pPr>
              <w:rPr>
                <w:color w:val="000000" w:themeColor="text1"/>
                <w:szCs w:val="21"/>
                <w14:textFill>
                  <w14:solidFill>
                    <w14:schemeClr w14:val="tx1"/>
                  </w14:solidFill>
                </w14:textFill>
              </w:rPr>
            </w:pPr>
          </w:p>
        </w:tc>
        <w:tc>
          <w:tcPr>
            <w:tcW w:w="1620" w:type="dxa"/>
            <w:tcBorders>
              <w:right w:val="single" w:color="auto" w:sz="4" w:space="0"/>
            </w:tcBorders>
            <w:vAlign w:val="center"/>
          </w:tcPr>
          <w:p>
            <w:pPr>
              <w:rPr>
                <w:color w:val="000000" w:themeColor="text1"/>
                <w:szCs w:val="21"/>
                <w14:textFill>
                  <w14:solidFill>
                    <w14:schemeClr w14:val="tx1"/>
                  </w14:solidFill>
                </w14:textFill>
              </w:rPr>
            </w:pPr>
          </w:p>
        </w:tc>
        <w:tc>
          <w:tcPr>
            <w:tcW w:w="2160" w:type="dxa"/>
            <w:tcBorders>
              <w:left w:val="single" w:color="auto" w:sz="4" w:space="0"/>
            </w:tcBorders>
            <w:vAlign w:val="center"/>
          </w:tcPr>
          <w:p>
            <w:pPr>
              <w:rPr>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54" w:hRule="atLeast"/>
        </w:trPr>
        <w:tc>
          <w:tcPr>
            <w:tcW w:w="720"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6</w:t>
            </w:r>
          </w:p>
        </w:tc>
        <w:tc>
          <w:tcPr>
            <w:tcW w:w="3420" w:type="dxa"/>
            <w:vAlign w:val="center"/>
          </w:tcPr>
          <w:p>
            <w:pPr>
              <w:rPr>
                <w:color w:val="000000" w:themeColor="text1"/>
                <w:szCs w:val="21"/>
                <w14:textFill>
                  <w14:solidFill>
                    <w14:schemeClr w14:val="tx1"/>
                  </w14:solidFill>
                </w14:textFill>
              </w:rPr>
            </w:pPr>
          </w:p>
        </w:tc>
        <w:tc>
          <w:tcPr>
            <w:tcW w:w="1620" w:type="dxa"/>
            <w:vAlign w:val="center"/>
          </w:tcPr>
          <w:p>
            <w:pPr>
              <w:rPr>
                <w:color w:val="000000" w:themeColor="text1"/>
                <w:szCs w:val="21"/>
                <w14:textFill>
                  <w14:solidFill>
                    <w14:schemeClr w14:val="tx1"/>
                  </w14:solidFill>
                </w14:textFill>
              </w:rPr>
            </w:pPr>
          </w:p>
        </w:tc>
        <w:tc>
          <w:tcPr>
            <w:tcW w:w="1620" w:type="dxa"/>
            <w:tcBorders>
              <w:right w:val="single" w:color="auto" w:sz="4" w:space="0"/>
            </w:tcBorders>
            <w:vAlign w:val="center"/>
          </w:tcPr>
          <w:p>
            <w:pPr>
              <w:rPr>
                <w:color w:val="000000" w:themeColor="text1"/>
                <w:szCs w:val="21"/>
                <w14:textFill>
                  <w14:solidFill>
                    <w14:schemeClr w14:val="tx1"/>
                  </w14:solidFill>
                </w14:textFill>
              </w:rPr>
            </w:pPr>
          </w:p>
        </w:tc>
        <w:tc>
          <w:tcPr>
            <w:tcW w:w="2160" w:type="dxa"/>
            <w:tcBorders>
              <w:left w:val="single" w:color="auto" w:sz="4" w:space="0"/>
            </w:tcBorders>
            <w:vAlign w:val="center"/>
          </w:tcPr>
          <w:p>
            <w:pPr>
              <w:rPr>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54" w:hRule="atLeast"/>
        </w:trPr>
        <w:tc>
          <w:tcPr>
            <w:tcW w:w="720"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3420" w:type="dxa"/>
            <w:vAlign w:val="center"/>
          </w:tcPr>
          <w:p>
            <w:pPr>
              <w:rPr>
                <w:color w:val="000000" w:themeColor="text1"/>
                <w:szCs w:val="21"/>
                <w14:textFill>
                  <w14:solidFill>
                    <w14:schemeClr w14:val="tx1"/>
                  </w14:solidFill>
                </w14:textFill>
              </w:rPr>
            </w:pPr>
          </w:p>
        </w:tc>
        <w:tc>
          <w:tcPr>
            <w:tcW w:w="1620" w:type="dxa"/>
            <w:vAlign w:val="center"/>
          </w:tcPr>
          <w:p>
            <w:pPr>
              <w:rPr>
                <w:color w:val="000000" w:themeColor="text1"/>
                <w:szCs w:val="21"/>
                <w14:textFill>
                  <w14:solidFill>
                    <w14:schemeClr w14:val="tx1"/>
                  </w14:solidFill>
                </w14:textFill>
              </w:rPr>
            </w:pPr>
          </w:p>
        </w:tc>
        <w:tc>
          <w:tcPr>
            <w:tcW w:w="1620" w:type="dxa"/>
            <w:tcBorders>
              <w:right w:val="single" w:color="auto" w:sz="4" w:space="0"/>
            </w:tcBorders>
            <w:vAlign w:val="center"/>
          </w:tcPr>
          <w:p>
            <w:pPr>
              <w:rPr>
                <w:color w:val="000000" w:themeColor="text1"/>
                <w:szCs w:val="21"/>
                <w14:textFill>
                  <w14:solidFill>
                    <w14:schemeClr w14:val="tx1"/>
                  </w14:solidFill>
                </w14:textFill>
              </w:rPr>
            </w:pPr>
          </w:p>
        </w:tc>
        <w:tc>
          <w:tcPr>
            <w:tcW w:w="2160" w:type="dxa"/>
            <w:tcBorders>
              <w:left w:val="single" w:color="auto" w:sz="4" w:space="0"/>
            </w:tcBorders>
            <w:vAlign w:val="center"/>
          </w:tcPr>
          <w:p>
            <w:pPr>
              <w:rPr>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340" w:hRule="atLeast"/>
        </w:trPr>
        <w:tc>
          <w:tcPr>
            <w:tcW w:w="5760" w:type="dxa"/>
            <w:gridSpan w:val="3"/>
            <w:vAlign w:val="center"/>
          </w:tcPr>
          <w:p>
            <w:pP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投标总价</w:t>
            </w:r>
          </w:p>
        </w:tc>
        <w:tc>
          <w:tcPr>
            <w:tcW w:w="1620" w:type="dxa"/>
            <w:tcBorders>
              <w:right w:val="single" w:color="auto" w:sz="4" w:space="0"/>
            </w:tcBorders>
            <w:vAlign w:val="center"/>
          </w:tcPr>
          <w:p>
            <w:pPr>
              <w:rPr>
                <w:rFonts w:eastAsia="黑体"/>
                <w:color w:val="000000" w:themeColor="text1"/>
                <w:szCs w:val="21"/>
                <w14:textFill>
                  <w14:solidFill>
                    <w14:schemeClr w14:val="tx1"/>
                  </w14:solidFill>
                </w14:textFill>
              </w:rPr>
            </w:pPr>
          </w:p>
        </w:tc>
        <w:tc>
          <w:tcPr>
            <w:tcW w:w="2160" w:type="dxa"/>
            <w:tcBorders>
              <w:left w:val="single" w:color="auto" w:sz="4" w:space="0"/>
            </w:tcBorders>
            <w:vAlign w:val="center"/>
          </w:tcPr>
          <w:p>
            <w:pPr>
              <w:rPr>
                <w:rFonts w:eastAsia="黑体"/>
                <w:color w:val="000000" w:themeColor="text1"/>
                <w:szCs w:val="21"/>
                <w14:textFill>
                  <w14:solidFill>
                    <w14:schemeClr w14:val="tx1"/>
                  </w14:solidFill>
                </w14:textFill>
              </w:rPr>
            </w:pPr>
          </w:p>
        </w:tc>
      </w:tr>
    </w:tbl>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供应商名称：</w:t>
      </w:r>
    </w:p>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供应商代表姓名：</w:t>
      </w:r>
    </w:p>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注：1、所有价格应按“招标文件”中规定的货币单位填写；</w:t>
      </w:r>
    </w:p>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2、投标总价应为以上各分项价格之和；</w:t>
      </w:r>
    </w:p>
    <w:p>
      <w:pPr>
        <w:ind w:firstLine="422" w:firstLineChars="200"/>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3、本表格仅为指导性范本，供应商应根据项目具体情况对各分项内容进行调整提供详细分项报价</w:t>
      </w:r>
    </w:p>
    <w:p>
      <w:pPr>
        <w:pStyle w:val="3"/>
        <w:spacing w:before="120" w:after="120"/>
        <w:jc w:val="center"/>
        <w:rPr>
          <w:bCs w:val="0"/>
          <w:color w:val="000000" w:themeColor="text1"/>
          <w:sz w:val="24"/>
          <w14:textFill>
            <w14:solidFill>
              <w14:schemeClr w14:val="tx1"/>
            </w14:solidFill>
          </w14:textFill>
        </w:rPr>
      </w:pPr>
      <w:r>
        <w:rPr>
          <w:color w:val="000000" w:themeColor="text1"/>
          <w:sz w:val="24"/>
          <w:szCs w:val="24"/>
          <w14:textFill>
            <w14:solidFill>
              <w14:schemeClr w14:val="tx1"/>
            </w14:solidFill>
          </w14:textFill>
        </w:rPr>
        <w:br w:type="page"/>
      </w:r>
      <w:r>
        <w:rPr>
          <w:color w:val="000000" w:themeColor="text1"/>
          <w14:textFill>
            <w14:solidFill>
              <w14:schemeClr w14:val="tx1"/>
            </w14:solidFill>
          </w14:textFill>
        </w:rPr>
        <w:t>七、供应商情况介绍</w:t>
      </w:r>
    </w:p>
    <w:p>
      <w:pPr>
        <w:adjustRightInd w:val="0"/>
        <w:snapToGrid w:val="0"/>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（一）供应商一览表</w:t>
      </w:r>
    </w:p>
    <w:tbl>
      <w:tblPr>
        <w:tblStyle w:val="24"/>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240"/>
        <w:gridCol w:w="3322"/>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tcPr>
          <w:p>
            <w:pPr>
              <w:adjustRightInd w:val="0"/>
              <w:snapToGrid w:val="0"/>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序号</w:t>
            </w:r>
          </w:p>
        </w:tc>
        <w:tc>
          <w:tcPr>
            <w:tcW w:w="3240" w:type="dxa"/>
          </w:tcPr>
          <w:p>
            <w:pPr>
              <w:adjustRightInd w:val="0"/>
              <w:snapToGrid w:val="0"/>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项目</w:t>
            </w:r>
          </w:p>
        </w:tc>
        <w:tc>
          <w:tcPr>
            <w:tcW w:w="3322" w:type="dxa"/>
          </w:tcPr>
          <w:p>
            <w:pPr>
              <w:adjustRightInd w:val="0"/>
              <w:snapToGrid w:val="0"/>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内容及说明</w:t>
            </w:r>
          </w:p>
        </w:tc>
        <w:tc>
          <w:tcPr>
            <w:tcW w:w="2464" w:type="dxa"/>
          </w:tcPr>
          <w:p>
            <w:pPr>
              <w:adjustRightInd w:val="0"/>
              <w:snapToGrid w:val="0"/>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28" w:type="dxa"/>
            <w:vMerge w:val="restart"/>
          </w:tcPr>
          <w:p>
            <w:pPr>
              <w:adjustRightInd w:val="0"/>
              <w:snapToGrid w:val="0"/>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一</w:t>
            </w:r>
          </w:p>
        </w:tc>
        <w:tc>
          <w:tcPr>
            <w:tcW w:w="3240" w:type="dxa"/>
          </w:tcPr>
          <w:p>
            <w:pPr>
              <w:adjustRightInd w:val="0"/>
              <w:snapToGrid w:val="0"/>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营业执照</w:t>
            </w:r>
          </w:p>
        </w:tc>
        <w:tc>
          <w:tcPr>
            <w:tcW w:w="3322" w:type="dxa"/>
            <w:shd w:val="clear" w:color="auto" w:fill="auto"/>
          </w:tcPr>
          <w:p>
            <w:pPr>
              <w:adjustRightInd w:val="0"/>
              <w:snapToGrid w:val="0"/>
              <w:spacing w:line="360" w:lineRule="auto"/>
              <w:rPr>
                <w:bCs/>
                <w:color w:val="000000" w:themeColor="text1"/>
                <w:sz w:val="24"/>
                <w14:textFill>
                  <w14:solidFill>
                    <w14:schemeClr w14:val="tx1"/>
                  </w14:solidFill>
                </w14:textFill>
              </w:rPr>
            </w:pPr>
          </w:p>
        </w:tc>
        <w:tc>
          <w:tcPr>
            <w:tcW w:w="2464" w:type="dxa"/>
            <w:vMerge w:val="restart"/>
          </w:tcPr>
          <w:p>
            <w:pPr>
              <w:adjustRightInd w:val="0"/>
              <w:snapToGrid w:val="0"/>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提供复印件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8" w:type="dxa"/>
            <w:vMerge w:val="continue"/>
          </w:tcPr>
          <w:p>
            <w:pPr>
              <w:adjustRightInd w:val="0"/>
              <w:snapToGrid w:val="0"/>
              <w:spacing w:line="360" w:lineRule="auto"/>
              <w:rPr>
                <w:bCs/>
                <w:color w:val="000000" w:themeColor="text1"/>
                <w:sz w:val="24"/>
                <w14:textFill>
                  <w14:solidFill>
                    <w14:schemeClr w14:val="tx1"/>
                  </w14:solidFill>
                </w14:textFill>
              </w:rPr>
            </w:pPr>
          </w:p>
        </w:tc>
        <w:tc>
          <w:tcPr>
            <w:tcW w:w="3240" w:type="dxa"/>
          </w:tcPr>
          <w:p>
            <w:pPr>
              <w:adjustRightInd w:val="0"/>
              <w:snapToGrid w:val="0"/>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1.注册年度及注册编号</w:t>
            </w:r>
          </w:p>
        </w:tc>
        <w:tc>
          <w:tcPr>
            <w:tcW w:w="3322" w:type="dxa"/>
            <w:shd w:val="clear" w:color="auto" w:fill="auto"/>
          </w:tcPr>
          <w:p>
            <w:pPr>
              <w:adjustRightInd w:val="0"/>
              <w:snapToGrid w:val="0"/>
              <w:spacing w:line="360" w:lineRule="auto"/>
              <w:rPr>
                <w:bCs/>
                <w:color w:val="000000" w:themeColor="text1"/>
                <w:sz w:val="24"/>
                <w14:textFill>
                  <w14:solidFill>
                    <w14:schemeClr w14:val="tx1"/>
                  </w14:solidFill>
                </w14:textFill>
              </w:rPr>
            </w:pPr>
          </w:p>
        </w:tc>
        <w:tc>
          <w:tcPr>
            <w:tcW w:w="2464" w:type="dxa"/>
            <w:vMerge w:val="continue"/>
          </w:tcPr>
          <w:p>
            <w:pPr>
              <w:adjustRightInd w:val="0"/>
              <w:snapToGrid w:val="0"/>
              <w:spacing w:line="360" w:lineRule="auto"/>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8" w:type="dxa"/>
            <w:vMerge w:val="continue"/>
          </w:tcPr>
          <w:p>
            <w:pPr>
              <w:adjustRightInd w:val="0"/>
              <w:snapToGrid w:val="0"/>
              <w:spacing w:line="360" w:lineRule="auto"/>
              <w:rPr>
                <w:bCs/>
                <w:color w:val="000000" w:themeColor="text1"/>
                <w:sz w:val="24"/>
                <w14:textFill>
                  <w14:solidFill>
                    <w14:schemeClr w14:val="tx1"/>
                  </w14:solidFill>
                </w14:textFill>
              </w:rPr>
            </w:pPr>
          </w:p>
        </w:tc>
        <w:tc>
          <w:tcPr>
            <w:tcW w:w="3240" w:type="dxa"/>
          </w:tcPr>
          <w:p>
            <w:pPr>
              <w:adjustRightInd w:val="0"/>
              <w:snapToGrid w:val="0"/>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2.注册资金（万元）：</w:t>
            </w:r>
          </w:p>
        </w:tc>
        <w:tc>
          <w:tcPr>
            <w:tcW w:w="3322" w:type="dxa"/>
            <w:shd w:val="clear" w:color="auto" w:fill="auto"/>
          </w:tcPr>
          <w:p>
            <w:pPr>
              <w:adjustRightInd w:val="0"/>
              <w:snapToGrid w:val="0"/>
              <w:spacing w:line="360" w:lineRule="auto"/>
              <w:rPr>
                <w:bCs/>
                <w:color w:val="000000" w:themeColor="text1"/>
                <w:sz w:val="24"/>
                <w14:textFill>
                  <w14:solidFill>
                    <w14:schemeClr w14:val="tx1"/>
                  </w14:solidFill>
                </w14:textFill>
              </w:rPr>
            </w:pPr>
          </w:p>
        </w:tc>
        <w:tc>
          <w:tcPr>
            <w:tcW w:w="2464" w:type="dxa"/>
            <w:vMerge w:val="continue"/>
          </w:tcPr>
          <w:p>
            <w:pPr>
              <w:adjustRightInd w:val="0"/>
              <w:snapToGrid w:val="0"/>
              <w:spacing w:line="360" w:lineRule="auto"/>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8" w:type="dxa"/>
            <w:vMerge w:val="continue"/>
          </w:tcPr>
          <w:p>
            <w:pPr>
              <w:adjustRightInd w:val="0"/>
              <w:snapToGrid w:val="0"/>
              <w:spacing w:line="360" w:lineRule="auto"/>
              <w:rPr>
                <w:bCs/>
                <w:color w:val="000000" w:themeColor="text1"/>
                <w:sz w:val="24"/>
                <w14:textFill>
                  <w14:solidFill>
                    <w14:schemeClr w14:val="tx1"/>
                  </w14:solidFill>
                </w14:textFill>
              </w:rPr>
            </w:pPr>
          </w:p>
        </w:tc>
        <w:tc>
          <w:tcPr>
            <w:tcW w:w="3240" w:type="dxa"/>
          </w:tcPr>
          <w:p>
            <w:pPr>
              <w:adjustRightInd w:val="0"/>
              <w:snapToGrid w:val="0"/>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3.经营场所：</w:t>
            </w:r>
          </w:p>
        </w:tc>
        <w:tc>
          <w:tcPr>
            <w:tcW w:w="3322" w:type="dxa"/>
            <w:shd w:val="clear" w:color="auto" w:fill="auto"/>
          </w:tcPr>
          <w:p>
            <w:pPr>
              <w:adjustRightInd w:val="0"/>
              <w:snapToGrid w:val="0"/>
              <w:spacing w:line="360" w:lineRule="auto"/>
              <w:rPr>
                <w:bCs/>
                <w:color w:val="000000" w:themeColor="text1"/>
                <w:sz w:val="24"/>
                <w14:textFill>
                  <w14:solidFill>
                    <w14:schemeClr w14:val="tx1"/>
                  </w14:solidFill>
                </w14:textFill>
              </w:rPr>
            </w:pPr>
          </w:p>
        </w:tc>
        <w:tc>
          <w:tcPr>
            <w:tcW w:w="2464" w:type="dxa"/>
            <w:vMerge w:val="continue"/>
          </w:tcPr>
          <w:p>
            <w:pPr>
              <w:adjustRightInd w:val="0"/>
              <w:snapToGrid w:val="0"/>
              <w:spacing w:line="360" w:lineRule="auto"/>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8" w:type="dxa"/>
            <w:vMerge w:val="continue"/>
          </w:tcPr>
          <w:p>
            <w:pPr>
              <w:adjustRightInd w:val="0"/>
              <w:snapToGrid w:val="0"/>
              <w:spacing w:line="360" w:lineRule="auto"/>
              <w:rPr>
                <w:bCs/>
                <w:color w:val="000000" w:themeColor="text1"/>
                <w:sz w:val="24"/>
                <w14:textFill>
                  <w14:solidFill>
                    <w14:schemeClr w14:val="tx1"/>
                  </w14:solidFill>
                </w14:textFill>
              </w:rPr>
            </w:pPr>
          </w:p>
        </w:tc>
        <w:tc>
          <w:tcPr>
            <w:tcW w:w="3240" w:type="dxa"/>
          </w:tcPr>
          <w:p>
            <w:pPr>
              <w:adjustRightInd w:val="0"/>
              <w:snapToGrid w:val="0"/>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4.有效期</w:t>
            </w:r>
            <w:r>
              <w:rPr>
                <w:bCs/>
                <w:color w:val="000000" w:themeColor="text1"/>
                <w:sz w:val="24"/>
                <w14:textFill>
                  <w14:solidFill>
                    <w14:schemeClr w14:val="tx1"/>
                  </w14:solidFill>
                </w14:textFill>
              </w:rPr>
              <w:tab/>
            </w:r>
            <w:r>
              <w:rPr>
                <w:bCs/>
                <w:color w:val="000000" w:themeColor="text1"/>
                <w:sz w:val="24"/>
                <w14:textFill>
                  <w14:solidFill>
                    <w14:schemeClr w14:val="tx1"/>
                  </w14:solidFill>
                </w14:textFill>
              </w:rPr>
              <w:t>：</w:t>
            </w:r>
          </w:p>
        </w:tc>
        <w:tc>
          <w:tcPr>
            <w:tcW w:w="3322" w:type="dxa"/>
            <w:shd w:val="clear" w:color="auto" w:fill="auto"/>
          </w:tcPr>
          <w:p>
            <w:pPr>
              <w:adjustRightInd w:val="0"/>
              <w:snapToGrid w:val="0"/>
              <w:spacing w:line="360" w:lineRule="auto"/>
              <w:rPr>
                <w:bCs/>
                <w:color w:val="000000" w:themeColor="text1"/>
                <w:sz w:val="24"/>
                <w14:textFill>
                  <w14:solidFill>
                    <w14:schemeClr w14:val="tx1"/>
                  </w14:solidFill>
                </w14:textFill>
              </w:rPr>
            </w:pPr>
          </w:p>
        </w:tc>
        <w:tc>
          <w:tcPr>
            <w:tcW w:w="2464" w:type="dxa"/>
            <w:vMerge w:val="continue"/>
          </w:tcPr>
          <w:p>
            <w:pPr>
              <w:adjustRightInd w:val="0"/>
              <w:snapToGrid w:val="0"/>
              <w:spacing w:line="360" w:lineRule="auto"/>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restart"/>
          </w:tcPr>
          <w:p>
            <w:pPr>
              <w:adjustRightInd w:val="0"/>
              <w:snapToGrid w:val="0"/>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二</w:t>
            </w:r>
          </w:p>
        </w:tc>
        <w:tc>
          <w:tcPr>
            <w:tcW w:w="3240" w:type="dxa"/>
          </w:tcPr>
          <w:p>
            <w:pPr>
              <w:adjustRightInd w:val="0"/>
              <w:snapToGrid w:val="0"/>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税务登记证</w:t>
            </w:r>
          </w:p>
        </w:tc>
        <w:tc>
          <w:tcPr>
            <w:tcW w:w="3322" w:type="dxa"/>
          </w:tcPr>
          <w:p>
            <w:pPr>
              <w:adjustRightInd w:val="0"/>
              <w:snapToGrid w:val="0"/>
              <w:spacing w:line="360" w:lineRule="auto"/>
              <w:rPr>
                <w:bCs/>
                <w:color w:val="000000" w:themeColor="text1"/>
                <w:sz w:val="24"/>
                <w14:textFill>
                  <w14:solidFill>
                    <w14:schemeClr w14:val="tx1"/>
                  </w14:solidFill>
                </w14:textFill>
              </w:rPr>
            </w:pPr>
          </w:p>
        </w:tc>
        <w:tc>
          <w:tcPr>
            <w:tcW w:w="2464" w:type="dxa"/>
            <w:vMerge w:val="restart"/>
          </w:tcPr>
          <w:p>
            <w:pPr>
              <w:adjustRightInd w:val="0"/>
              <w:snapToGrid w:val="0"/>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提供复印件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tcPr>
          <w:p>
            <w:pPr>
              <w:adjustRightInd w:val="0"/>
              <w:snapToGrid w:val="0"/>
              <w:spacing w:line="360" w:lineRule="auto"/>
              <w:rPr>
                <w:bCs/>
                <w:color w:val="000000" w:themeColor="text1"/>
                <w:sz w:val="24"/>
                <w14:textFill>
                  <w14:solidFill>
                    <w14:schemeClr w14:val="tx1"/>
                  </w14:solidFill>
                </w14:textFill>
              </w:rPr>
            </w:pPr>
          </w:p>
        </w:tc>
        <w:tc>
          <w:tcPr>
            <w:tcW w:w="3240" w:type="dxa"/>
          </w:tcPr>
          <w:p>
            <w:pPr>
              <w:adjustRightInd w:val="0"/>
              <w:snapToGrid w:val="0"/>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1.税务登记证编号：</w:t>
            </w:r>
          </w:p>
        </w:tc>
        <w:tc>
          <w:tcPr>
            <w:tcW w:w="3322" w:type="dxa"/>
          </w:tcPr>
          <w:p>
            <w:pPr>
              <w:adjustRightInd w:val="0"/>
              <w:snapToGrid w:val="0"/>
              <w:spacing w:line="360" w:lineRule="auto"/>
              <w:rPr>
                <w:bCs/>
                <w:color w:val="000000" w:themeColor="text1"/>
                <w:sz w:val="24"/>
                <w14:textFill>
                  <w14:solidFill>
                    <w14:schemeClr w14:val="tx1"/>
                  </w14:solidFill>
                </w14:textFill>
              </w:rPr>
            </w:pPr>
          </w:p>
        </w:tc>
        <w:tc>
          <w:tcPr>
            <w:tcW w:w="2464" w:type="dxa"/>
            <w:vMerge w:val="continue"/>
          </w:tcPr>
          <w:p>
            <w:pPr>
              <w:adjustRightInd w:val="0"/>
              <w:snapToGrid w:val="0"/>
              <w:spacing w:line="360" w:lineRule="auto"/>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adjustRightInd w:val="0"/>
              <w:snapToGrid w:val="0"/>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三</w:t>
            </w:r>
            <w:r>
              <w:rPr>
                <w:bCs/>
                <w:color w:val="000000" w:themeColor="text1"/>
                <w:sz w:val="24"/>
                <w14:textFill>
                  <w14:solidFill>
                    <w14:schemeClr w14:val="tx1"/>
                  </w14:solidFill>
                </w14:textFill>
              </w:rPr>
              <w:tab/>
            </w:r>
          </w:p>
        </w:tc>
        <w:tc>
          <w:tcPr>
            <w:tcW w:w="3240" w:type="dxa"/>
          </w:tcPr>
          <w:p>
            <w:pPr>
              <w:adjustRightInd w:val="0"/>
              <w:snapToGrid w:val="0"/>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其他资格（质）证书</w:t>
            </w:r>
          </w:p>
        </w:tc>
        <w:tc>
          <w:tcPr>
            <w:tcW w:w="3322" w:type="dxa"/>
          </w:tcPr>
          <w:p>
            <w:pPr>
              <w:adjustRightInd w:val="0"/>
              <w:snapToGrid w:val="0"/>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（若有其他资质证书，可按表格格式扩展</w:t>
            </w:r>
          </w:p>
        </w:tc>
        <w:tc>
          <w:tcPr>
            <w:tcW w:w="2464" w:type="dxa"/>
            <w:vMerge w:val="restart"/>
          </w:tcPr>
          <w:p>
            <w:pPr>
              <w:adjustRightInd w:val="0"/>
              <w:snapToGrid w:val="0"/>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提供复印件</w:t>
            </w:r>
          </w:p>
          <w:p>
            <w:pPr>
              <w:adjustRightInd w:val="0"/>
              <w:snapToGrid w:val="0"/>
              <w:spacing w:line="360" w:lineRule="auto"/>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restart"/>
          </w:tcPr>
          <w:p>
            <w:pPr>
              <w:adjustRightInd w:val="0"/>
              <w:snapToGrid w:val="0"/>
              <w:spacing w:line="360" w:lineRule="auto"/>
              <w:rPr>
                <w:bCs/>
                <w:color w:val="000000" w:themeColor="text1"/>
                <w:sz w:val="24"/>
                <w14:textFill>
                  <w14:solidFill>
                    <w14:schemeClr w14:val="tx1"/>
                  </w14:solidFill>
                </w14:textFill>
              </w:rPr>
            </w:pPr>
          </w:p>
        </w:tc>
        <w:tc>
          <w:tcPr>
            <w:tcW w:w="3240" w:type="dxa"/>
          </w:tcPr>
          <w:p>
            <w:pPr>
              <w:adjustRightInd w:val="0"/>
              <w:snapToGrid w:val="0"/>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1.证书名称</w:t>
            </w:r>
            <w:r>
              <w:rPr>
                <w:bCs/>
                <w:color w:val="000000" w:themeColor="text1"/>
                <w:sz w:val="24"/>
                <w14:textFill>
                  <w14:solidFill>
                    <w14:schemeClr w14:val="tx1"/>
                  </w14:solidFill>
                </w14:textFill>
              </w:rPr>
              <w:tab/>
            </w:r>
          </w:p>
        </w:tc>
        <w:tc>
          <w:tcPr>
            <w:tcW w:w="3322" w:type="dxa"/>
          </w:tcPr>
          <w:p>
            <w:pPr>
              <w:adjustRightInd w:val="0"/>
              <w:snapToGrid w:val="0"/>
              <w:spacing w:line="360" w:lineRule="auto"/>
              <w:rPr>
                <w:bCs/>
                <w:color w:val="000000" w:themeColor="text1"/>
                <w:sz w:val="24"/>
                <w14:textFill>
                  <w14:solidFill>
                    <w14:schemeClr w14:val="tx1"/>
                  </w14:solidFill>
                </w14:textFill>
              </w:rPr>
            </w:pPr>
          </w:p>
        </w:tc>
        <w:tc>
          <w:tcPr>
            <w:tcW w:w="2464" w:type="dxa"/>
            <w:vMerge w:val="continue"/>
          </w:tcPr>
          <w:p>
            <w:pPr>
              <w:adjustRightInd w:val="0"/>
              <w:snapToGrid w:val="0"/>
              <w:spacing w:line="360" w:lineRule="auto"/>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tcPr>
          <w:p>
            <w:pPr>
              <w:adjustRightInd w:val="0"/>
              <w:snapToGrid w:val="0"/>
              <w:spacing w:line="360" w:lineRule="auto"/>
              <w:rPr>
                <w:bCs/>
                <w:color w:val="000000" w:themeColor="text1"/>
                <w:sz w:val="24"/>
                <w14:textFill>
                  <w14:solidFill>
                    <w14:schemeClr w14:val="tx1"/>
                  </w14:solidFill>
                </w14:textFill>
              </w:rPr>
            </w:pPr>
          </w:p>
        </w:tc>
        <w:tc>
          <w:tcPr>
            <w:tcW w:w="3240" w:type="dxa"/>
          </w:tcPr>
          <w:p>
            <w:pPr>
              <w:adjustRightInd w:val="0"/>
              <w:snapToGrid w:val="0"/>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2.批准单位</w:t>
            </w:r>
          </w:p>
        </w:tc>
        <w:tc>
          <w:tcPr>
            <w:tcW w:w="3322" w:type="dxa"/>
          </w:tcPr>
          <w:p>
            <w:pPr>
              <w:adjustRightInd w:val="0"/>
              <w:snapToGrid w:val="0"/>
              <w:spacing w:line="360" w:lineRule="auto"/>
              <w:rPr>
                <w:bCs/>
                <w:color w:val="000000" w:themeColor="text1"/>
                <w:sz w:val="24"/>
                <w14:textFill>
                  <w14:solidFill>
                    <w14:schemeClr w14:val="tx1"/>
                  </w14:solidFill>
                </w14:textFill>
              </w:rPr>
            </w:pPr>
          </w:p>
        </w:tc>
        <w:tc>
          <w:tcPr>
            <w:tcW w:w="2464" w:type="dxa"/>
            <w:vMerge w:val="continue"/>
          </w:tcPr>
          <w:p>
            <w:pPr>
              <w:adjustRightInd w:val="0"/>
              <w:snapToGrid w:val="0"/>
              <w:spacing w:line="360" w:lineRule="auto"/>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tcPr>
          <w:p>
            <w:pPr>
              <w:adjustRightInd w:val="0"/>
              <w:snapToGrid w:val="0"/>
              <w:spacing w:line="360" w:lineRule="auto"/>
              <w:rPr>
                <w:bCs/>
                <w:color w:val="000000" w:themeColor="text1"/>
                <w:sz w:val="24"/>
                <w14:textFill>
                  <w14:solidFill>
                    <w14:schemeClr w14:val="tx1"/>
                  </w14:solidFill>
                </w14:textFill>
              </w:rPr>
            </w:pPr>
          </w:p>
        </w:tc>
        <w:tc>
          <w:tcPr>
            <w:tcW w:w="3240" w:type="dxa"/>
          </w:tcPr>
          <w:p>
            <w:pPr>
              <w:adjustRightInd w:val="0"/>
              <w:snapToGrid w:val="0"/>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3.等级</w:t>
            </w:r>
          </w:p>
        </w:tc>
        <w:tc>
          <w:tcPr>
            <w:tcW w:w="3322" w:type="dxa"/>
          </w:tcPr>
          <w:p>
            <w:pPr>
              <w:adjustRightInd w:val="0"/>
              <w:snapToGrid w:val="0"/>
              <w:spacing w:line="360" w:lineRule="auto"/>
              <w:rPr>
                <w:bCs/>
                <w:color w:val="000000" w:themeColor="text1"/>
                <w:sz w:val="24"/>
                <w14:textFill>
                  <w14:solidFill>
                    <w14:schemeClr w14:val="tx1"/>
                  </w14:solidFill>
                </w14:textFill>
              </w:rPr>
            </w:pPr>
          </w:p>
        </w:tc>
        <w:tc>
          <w:tcPr>
            <w:tcW w:w="2464" w:type="dxa"/>
            <w:vMerge w:val="continue"/>
          </w:tcPr>
          <w:p>
            <w:pPr>
              <w:adjustRightInd w:val="0"/>
              <w:snapToGrid w:val="0"/>
              <w:spacing w:line="360" w:lineRule="auto"/>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tcPr>
          <w:p>
            <w:pPr>
              <w:adjustRightInd w:val="0"/>
              <w:snapToGrid w:val="0"/>
              <w:spacing w:line="360" w:lineRule="auto"/>
              <w:rPr>
                <w:bCs/>
                <w:color w:val="000000" w:themeColor="text1"/>
                <w:sz w:val="24"/>
                <w14:textFill>
                  <w14:solidFill>
                    <w14:schemeClr w14:val="tx1"/>
                  </w14:solidFill>
                </w14:textFill>
              </w:rPr>
            </w:pPr>
          </w:p>
        </w:tc>
        <w:tc>
          <w:tcPr>
            <w:tcW w:w="3240" w:type="dxa"/>
          </w:tcPr>
          <w:p>
            <w:pPr>
              <w:adjustRightInd w:val="0"/>
              <w:snapToGrid w:val="0"/>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4.批准时间及编号</w:t>
            </w:r>
          </w:p>
        </w:tc>
        <w:tc>
          <w:tcPr>
            <w:tcW w:w="3322" w:type="dxa"/>
          </w:tcPr>
          <w:p>
            <w:pPr>
              <w:adjustRightInd w:val="0"/>
              <w:snapToGrid w:val="0"/>
              <w:spacing w:line="360" w:lineRule="auto"/>
              <w:rPr>
                <w:bCs/>
                <w:color w:val="000000" w:themeColor="text1"/>
                <w:sz w:val="24"/>
                <w14:textFill>
                  <w14:solidFill>
                    <w14:schemeClr w14:val="tx1"/>
                  </w14:solidFill>
                </w14:textFill>
              </w:rPr>
            </w:pPr>
          </w:p>
        </w:tc>
        <w:tc>
          <w:tcPr>
            <w:tcW w:w="2464" w:type="dxa"/>
            <w:vMerge w:val="continue"/>
          </w:tcPr>
          <w:p>
            <w:pPr>
              <w:adjustRightInd w:val="0"/>
              <w:snapToGrid w:val="0"/>
              <w:spacing w:line="360" w:lineRule="auto"/>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tcPr>
          <w:p>
            <w:pPr>
              <w:adjustRightInd w:val="0"/>
              <w:snapToGrid w:val="0"/>
              <w:spacing w:line="360" w:lineRule="auto"/>
              <w:rPr>
                <w:bCs/>
                <w:color w:val="000000" w:themeColor="text1"/>
                <w:sz w:val="24"/>
                <w14:textFill>
                  <w14:solidFill>
                    <w14:schemeClr w14:val="tx1"/>
                  </w14:solidFill>
                </w14:textFill>
              </w:rPr>
            </w:pPr>
          </w:p>
        </w:tc>
        <w:tc>
          <w:tcPr>
            <w:tcW w:w="3240" w:type="dxa"/>
          </w:tcPr>
          <w:p>
            <w:pPr>
              <w:adjustRightInd w:val="0"/>
              <w:snapToGrid w:val="0"/>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5.有效期</w:t>
            </w:r>
            <w:r>
              <w:rPr>
                <w:bCs/>
                <w:color w:val="000000" w:themeColor="text1"/>
                <w:sz w:val="24"/>
                <w14:textFill>
                  <w14:solidFill>
                    <w14:schemeClr w14:val="tx1"/>
                  </w14:solidFill>
                </w14:textFill>
              </w:rPr>
              <w:tab/>
            </w:r>
          </w:p>
        </w:tc>
        <w:tc>
          <w:tcPr>
            <w:tcW w:w="3322" w:type="dxa"/>
          </w:tcPr>
          <w:p>
            <w:pPr>
              <w:adjustRightInd w:val="0"/>
              <w:snapToGrid w:val="0"/>
              <w:spacing w:line="360" w:lineRule="auto"/>
              <w:rPr>
                <w:bCs/>
                <w:color w:val="000000" w:themeColor="text1"/>
                <w:sz w:val="24"/>
                <w14:textFill>
                  <w14:solidFill>
                    <w14:schemeClr w14:val="tx1"/>
                  </w14:solidFill>
                </w14:textFill>
              </w:rPr>
            </w:pPr>
          </w:p>
        </w:tc>
        <w:tc>
          <w:tcPr>
            <w:tcW w:w="2464" w:type="dxa"/>
            <w:vMerge w:val="continue"/>
          </w:tcPr>
          <w:p>
            <w:pPr>
              <w:adjustRightInd w:val="0"/>
              <w:snapToGrid w:val="0"/>
              <w:spacing w:line="360" w:lineRule="auto"/>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adjustRightInd w:val="0"/>
              <w:snapToGrid w:val="0"/>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四</w:t>
            </w:r>
          </w:p>
        </w:tc>
        <w:tc>
          <w:tcPr>
            <w:tcW w:w="3240" w:type="dxa"/>
          </w:tcPr>
          <w:p>
            <w:pPr>
              <w:adjustRightInd w:val="0"/>
              <w:snapToGrid w:val="0"/>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其他</w:t>
            </w:r>
          </w:p>
        </w:tc>
        <w:tc>
          <w:tcPr>
            <w:tcW w:w="3322" w:type="dxa"/>
          </w:tcPr>
          <w:p>
            <w:pPr>
              <w:adjustRightInd w:val="0"/>
              <w:snapToGrid w:val="0"/>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投标人认为需补充的其他说明</w:t>
            </w:r>
          </w:p>
        </w:tc>
        <w:tc>
          <w:tcPr>
            <w:tcW w:w="2464" w:type="dxa"/>
          </w:tcPr>
          <w:p>
            <w:pPr>
              <w:adjustRightInd w:val="0"/>
              <w:snapToGrid w:val="0"/>
              <w:spacing w:line="360" w:lineRule="auto"/>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adjustRightInd w:val="0"/>
              <w:snapToGrid w:val="0"/>
              <w:spacing w:line="360" w:lineRule="auto"/>
              <w:rPr>
                <w:bCs/>
                <w:color w:val="000000" w:themeColor="text1"/>
                <w:sz w:val="24"/>
                <w14:textFill>
                  <w14:solidFill>
                    <w14:schemeClr w14:val="tx1"/>
                  </w14:solidFill>
                </w14:textFill>
              </w:rPr>
            </w:pPr>
          </w:p>
        </w:tc>
        <w:tc>
          <w:tcPr>
            <w:tcW w:w="3240" w:type="dxa"/>
          </w:tcPr>
          <w:p>
            <w:pPr>
              <w:adjustRightInd w:val="0"/>
              <w:snapToGrid w:val="0"/>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p>
        </w:tc>
        <w:tc>
          <w:tcPr>
            <w:tcW w:w="3322" w:type="dxa"/>
          </w:tcPr>
          <w:p>
            <w:pPr>
              <w:adjustRightInd w:val="0"/>
              <w:snapToGrid w:val="0"/>
              <w:spacing w:line="360" w:lineRule="auto"/>
              <w:rPr>
                <w:bCs/>
                <w:color w:val="000000" w:themeColor="text1"/>
                <w:sz w:val="24"/>
                <w14:textFill>
                  <w14:solidFill>
                    <w14:schemeClr w14:val="tx1"/>
                  </w14:solidFill>
                </w14:textFill>
              </w:rPr>
            </w:pPr>
          </w:p>
        </w:tc>
        <w:tc>
          <w:tcPr>
            <w:tcW w:w="2464" w:type="dxa"/>
          </w:tcPr>
          <w:p>
            <w:pPr>
              <w:adjustRightInd w:val="0"/>
              <w:snapToGrid w:val="0"/>
              <w:spacing w:line="360" w:lineRule="auto"/>
              <w:rPr>
                <w:bCs/>
                <w:color w:val="000000" w:themeColor="text1"/>
                <w:sz w:val="24"/>
                <w14:textFill>
                  <w14:solidFill>
                    <w14:schemeClr w14:val="tx1"/>
                  </w14:solidFill>
                </w14:textFill>
              </w:rPr>
            </w:pPr>
          </w:p>
        </w:tc>
      </w:tr>
    </w:tbl>
    <w:p>
      <w:pPr>
        <w:adjustRightInd w:val="0"/>
        <w:snapToGrid w:val="0"/>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ab/>
      </w:r>
    </w:p>
    <w:p>
      <w:pPr>
        <w:adjustRightInd w:val="0"/>
        <w:snapToGrid w:val="0"/>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注：在按要求填写好此表格后，各投标单位可以用其它的方式，就公司整体情况作出详细的介绍（可以提供相应文字、照片等）。</w:t>
      </w:r>
    </w:p>
    <w:p>
      <w:pPr>
        <w:adjustRightInd w:val="0"/>
        <w:snapToGrid w:val="0"/>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（二）供应商资格证明文件</w:t>
      </w:r>
    </w:p>
    <w:p>
      <w:pPr>
        <w:adjustRightInd w:val="0"/>
        <w:snapToGrid w:val="0"/>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 投标人资格要求的证明文件：</w:t>
      </w:r>
    </w:p>
    <w:p>
      <w:pPr>
        <w:adjustRightInd w:val="0"/>
        <w:snapToGrid w:val="0"/>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（1）工商营业执照复印件；</w:t>
      </w:r>
    </w:p>
    <w:p>
      <w:pPr>
        <w:adjustRightInd w:val="0"/>
        <w:snapToGrid w:val="0"/>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（2）提供招标公告中关于投标人资格要求的相关资格证明文件复印件。</w:t>
      </w:r>
    </w:p>
    <w:p>
      <w:pPr>
        <w:adjustRightInd w:val="0"/>
        <w:snapToGrid w:val="0"/>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 评分标准中涉及的有关资格（质）证明文件：</w:t>
      </w:r>
    </w:p>
    <w:p>
      <w:pPr>
        <w:adjustRightInd w:val="0"/>
        <w:snapToGrid w:val="0"/>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（1）税务部门出具的</w:t>
      </w:r>
      <w:r>
        <w:rPr>
          <w:rFonts w:hint="eastAsia"/>
          <w:color w:val="000000" w:themeColor="text1"/>
          <w:sz w:val="24"/>
          <w14:textFill>
            <w14:solidFill>
              <w14:schemeClr w14:val="tx1"/>
            </w14:solidFill>
          </w14:textFill>
        </w:rPr>
        <w:t>2016</w:t>
      </w:r>
      <w:r>
        <w:rPr>
          <w:color w:val="000000" w:themeColor="text1"/>
          <w:sz w:val="24"/>
          <w14:textFill>
            <w14:solidFill>
              <w14:schemeClr w14:val="tx1"/>
            </w14:solidFill>
          </w14:textFill>
        </w:rPr>
        <w:t>年度</w:t>
      </w:r>
      <w:r>
        <w:rPr>
          <w:bCs/>
          <w:color w:val="000000" w:themeColor="text1"/>
          <w:sz w:val="24"/>
          <w14:textFill>
            <w14:solidFill>
              <w14:schemeClr w14:val="tx1"/>
            </w14:solidFill>
          </w14:textFill>
        </w:rPr>
        <w:t>纳税证明复印件，并自行汇总纳税额（如有）；</w:t>
      </w:r>
    </w:p>
    <w:p>
      <w:pPr>
        <w:adjustRightInd w:val="0"/>
        <w:snapToGrid w:val="0"/>
        <w:spacing w:line="360" w:lineRule="auto"/>
        <w:rPr>
          <w:b/>
          <w:bCs/>
          <w:color w:val="000000" w:themeColor="text1"/>
          <w:sz w:val="24"/>
          <w14:textFill>
            <w14:solidFill>
              <w14:schemeClr w14:val="tx1"/>
            </w14:solidFill>
          </w14:textFill>
        </w:rPr>
      </w:pPr>
      <w:r>
        <w:rPr>
          <w:bCs/>
          <w:color w:val="000000" w:themeColor="text1"/>
          <w:sz w:val="24"/>
          <w14:textFill>
            <w14:solidFill>
              <w14:schemeClr w14:val="tx1"/>
            </w14:solidFill>
          </w14:textFill>
        </w:rPr>
        <w:t>（2）ISO9001质量管理体系认证证书复印件（如有）；</w:t>
      </w:r>
    </w:p>
    <w:p>
      <w:pPr>
        <w:adjustRightInd w:val="0"/>
        <w:snapToGrid w:val="0"/>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（3）投标产品自主创新证明文件（如有）；</w:t>
      </w:r>
    </w:p>
    <w:p>
      <w:pPr>
        <w:adjustRightInd w:val="0"/>
        <w:snapToGrid w:val="0"/>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（4）……（如有）；</w:t>
      </w:r>
    </w:p>
    <w:p>
      <w:pPr>
        <w:adjustRightInd w:val="0"/>
        <w:snapToGrid w:val="0"/>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（5）……（如有）；</w:t>
      </w:r>
    </w:p>
    <w:p>
      <w:pPr>
        <w:adjustRightInd w:val="0"/>
        <w:snapToGrid w:val="0"/>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（6）其他（供应商自定提供）。</w:t>
      </w:r>
    </w:p>
    <w:p>
      <w:pPr>
        <w:adjustRightInd w:val="0"/>
        <w:snapToGrid w:val="0"/>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（三）“关键信息-评标信息”规定的公司业绩、已做项目简介</w:t>
      </w:r>
    </w:p>
    <w:tbl>
      <w:tblPr>
        <w:tblStyle w:val="24"/>
        <w:tblW w:w="10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123"/>
        <w:gridCol w:w="1260"/>
        <w:gridCol w:w="1938"/>
        <w:gridCol w:w="1232"/>
        <w:gridCol w:w="1232"/>
        <w:gridCol w:w="1232"/>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adjustRightInd w:val="0"/>
              <w:snapToGrid w:val="0"/>
              <w:spacing w:line="360" w:lineRule="auto"/>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序号</w:t>
            </w:r>
          </w:p>
        </w:tc>
        <w:tc>
          <w:tcPr>
            <w:tcW w:w="1123" w:type="dxa"/>
            <w:vAlign w:val="center"/>
          </w:tcPr>
          <w:p>
            <w:pPr>
              <w:adjustRightInd w:val="0"/>
              <w:snapToGrid w:val="0"/>
              <w:spacing w:line="360" w:lineRule="auto"/>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采购人</w:t>
            </w:r>
          </w:p>
        </w:tc>
        <w:tc>
          <w:tcPr>
            <w:tcW w:w="1260" w:type="dxa"/>
            <w:vAlign w:val="center"/>
          </w:tcPr>
          <w:p>
            <w:pPr>
              <w:adjustRightInd w:val="0"/>
              <w:snapToGrid w:val="0"/>
              <w:spacing w:line="360" w:lineRule="auto"/>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项目名称</w:t>
            </w:r>
          </w:p>
        </w:tc>
        <w:tc>
          <w:tcPr>
            <w:tcW w:w="1938" w:type="dxa"/>
            <w:vAlign w:val="center"/>
          </w:tcPr>
          <w:p>
            <w:pPr>
              <w:adjustRightInd w:val="0"/>
              <w:snapToGrid w:val="0"/>
              <w:spacing w:line="360" w:lineRule="auto"/>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规模（金额/元）</w:t>
            </w:r>
          </w:p>
        </w:tc>
        <w:tc>
          <w:tcPr>
            <w:tcW w:w="1232" w:type="dxa"/>
            <w:vAlign w:val="center"/>
          </w:tcPr>
          <w:p>
            <w:pPr>
              <w:adjustRightInd w:val="0"/>
              <w:snapToGrid w:val="0"/>
              <w:spacing w:line="360" w:lineRule="auto"/>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完成时间</w:t>
            </w:r>
          </w:p>
        </w:tc>
        <w:tc>
          <w:tcPr>
            <w:tcW w:w="1232" w:type="dxa"/>
            <w:vAlign w:val="center"/>
          </w:tcPr>
          <w:p>
            <w:pPr>
              <w:adjustRightInd w:val="0"/>
              <w:snapToGrid w:val="0"/>
              <w:spacing w:line="360" w:lineRule="auto"/>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运行情况</w:t>
            </w:r>
          </w:p>
        </w:tc>
        <w:tc>
          <w:tcPr>
            <w:tcW w:w="1232" w:type="dxa"/>
            <w:vAlign w:val="center"/>
          </w:tcPr>
          <w:p>
            <w:pPr>
              <w:adjustRightInd w:val="0"/>
              <w:snapToGrid w:val="0"/>
              <w:spacing w:line="360" w:lineRule="auto"/>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联系人</w:t>
            </w:r>
          </w:p>
        </w:tc>
        <w:tc>
          <w:tcPr>
            <w:tcW w:w="1232" w:type="dxa"/>
            <w:vAlign w:val="center"/>
          </w:tcPr>
          <w:p>
            <w:pPr>
              <w:adjustRightInd w:val="0"/>
              <w:snapToGrid w:val="0"/>
              <w:spacing w:line="360" w:lineRule="auto"/>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adjustRightInd w:val="0"/>
              <w:snapToGrid w:val="0"/>
              <w:spacing w:line="360" w:lineRule="auto"/>
              <w:rPr>
                <w:bCs/>
                <w:color w:val="000000" w:themeColor="text1"/>
                <w:sz w:val="24"/>
                <w14:textFill>
                  <w14:solidFill>
                    <w14:schemeClr w14:val="tx1"/>
                  </w14:solidFill>
                </w14:textFill>
              </w:rPr>
            </w:pPr>
          </w:p>
        </w:tc>
        <w:tc>
          <w:tcPr>
            <w:tcW w:w="1123" w:type="dxa"/>
          </w:tcPr>
          <w:p>
            <w:pPr>
              <w:adjustRightInd w:val="0"/>
              <w:snapToGrid w:val="0"/>
              <w:spacing w:line="360" w:lineRule="auto"/>
              <w:rPr>
                <w:bCs/>
                <w:color w:val="000000" w:themeColor="text1"/>
                <w:sz w:val="24"/>
                <w14:textFill>
                  <w14:solidFill>
                    <w14:schemeClr w14:val="tx1"/>
                  </w14:solidFill>
                </w14:textFill>
              </w:rPr>
            </w:pPr>
          </w:p>
        </w:tc>
        <w:tc>
          <w:tcPr>
            <w:tcW w:w="1260" w:type="dxa"/>
          </w:tcPr>
          <w:p>
            <w:pPr>
              <w:adjustRightInd w:val="0"/>
              <w:snapToGrid w:val="0"/>
              <w:spacing w:line="360" w:lineRule="auto"/>
              <w:rPr>
                <w:bCs/>
                <w:color w:val="000000" w:themeColor="text1"/>
                <w:sz w:val="24"/>
                <w14:textFill>
                  <w14:solidFill>
                    <w14:schemeClr w14:val="tx1"/>
                  </w14:solidFill>
                </w14:textFill>
              </w:rPr>
            </w:pPr>
          </w:p>
        </w:tc>
        <w:tc>
          <w:tcPr>
            <w:tcW w:w="1938" w:type="dxa"/>
          </w:tcPr>
          <w:p>
            <w:pPr>
              <w:adjustRightInd w:val="0"/>
              <w:snapToGrid w:val="0"/>
              <w:spacing w:line="360" w:lineRule="auto"/>
              <w:rPr>
                <w:bCs/>
                <w:color w:val="000000" w:themeColor="text1"/>
                <w:sz w:val="24"/>
                <w14:textFill>
                  <w14:solidFill>
                    <w14:schemeClr w14:val="tx1"/>
                  </w14:solidFill>
                </w14:textFill>
              </w:rPr>
            </w:pPr>
          </w:p>
        </w:tc>
        <w:tc>
          <w:tcPr>
            <w:tcW w:w="1232" w:type="dxa"/>
          </w:tcPr>
          <w:p>
            <w:pPr>
              <w:adjustRightInd w:val="0"/>
              <w:snapToGrid w:val="0"/>
              <w:spacing w:line="360" w:lineRule="auto"/>
              <w:rPr>
                <w:bCs/>
                <w:color w:val="000000" w:themeColor="text1"/>
                <w:sz w:val="24"/>
                <w14:textFill>
                  <w14:solidFill>
                    <w14:schemeClr w14:val="tx1"/>
                  </w14:solidFill>
                </w14:textFill>
              </w:rPr>
            </w:pPr>
          </w:p>
        </w:tc>
        <w:tc>
          <w:tcPr>
            <w:tcW w:w="1232" w:type="dxa"/>
          </w:tcPr>
          <w:p>
            <w:pPr>
              <w:adjustRightInd w:val="0"/>
              <w:snapToGrid w:val="0"/>
              <w:spacing w:line="360" w:lineRule="auto"/>
              <w:rPr>
                <w:bCs/>
                <w:color w:val="000000" w:themeColor="text1"/>
                <w:sz w:val="24"/>
                <w14:textFill>
                  <w14:solidFill>
                    <w14:schemeClr w14:val="tx1"/>
                  </w14:solidFill>
                </w14:textFill>
              </w:rPr>
            </w:pPr>
          </w:p>
        </w:tc>
        <w:tc>
          <w:tcPr>
            <w:tcW w:w="1232" w:type="dxa"/>
          </w:tcPr>
          <w:p>
            <w:pPr>
              <w:adjustRightInd w:val="0"/>
              <w:snapToGrid w:val="0"/>
              <w:spacing w:line="360" w:lineRule="auto"/>
              <w:rPr>
                <w:bCs/>
                <w:color w:val="000000" w:themeColor="text1"/>
                <w:sz w:val="24"/>
                <w14:textFill>
                  <w14:solidFill>
                    <w14:schemeClr w14:val="tx1"/>
                  </w14:solidFill>
                </w14:textFill>
              </w:rPr>
            </w:pPr>
          </w:p>
        </w:tc>
        <w:tc>
          <w:tcPr>
            <w:tcW w:w="1232" w:type="dxa"/>
          </w:tcPr>
          <w:p>
            <w:pPr>
              <w:adjustRightInd w:val="0"/>
              <w:snapToGrid w:val="0"/>
              <w:spacing w:line="360" w:lineRule="auto"/>
              <w:rPr>
                <w:bCs/>
                <w:color w:val="000000" w:themeColor="text1"/>
                <w:sz w:val="24"/>
                <w14:textFill>
                  <w14:solidFill>
                    <w14:schemeClr w14:val="tx1"/>
                  </w14:solidFill>
                </w14:textFill>
              </w:rPr>
            </w:pPr>
          </w:p>
        </w:tc>
      </w:tr>
    </w:tbl>
    <w:p>
      <w:pPr>
        <w:adjustRightInd w:val="0"/>
        <w:snapToGrid w:val="0"/>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（四）拥有相关专利情况</w:t>
      </w:r>
    </w:p>
    <w:p>
      <w:pPr>
        <w:adjustRightInd w:val="0"/>
        <w:snapToGrid w:val="0"/>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 xml:space="preserve">  1. 专利一览表</w:t>
      </w:r>
    </w:p>
    <w:p>
      <w:pPr>
        <w:adjustRightInd w:val="0"/>
        <w:snapToGrid w:val="0"/>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 xml:space="preserve">  2. 专利证书复印件</w:t>
      </w:r>
    </w:p>
    <w:p>
      <w:pPr>
        <w:adjustRightInd w:val="0"/>
        <w:snapToGrid w:val="0"/>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（五）所获荣誉或奖励</w:t>
      </w:r>
    </w:p>
    <w:p>
      <w:pPr>
        <w:adjustRightInd w:val="0"/>
        <w:snapToGrid w:val="0"/>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 xml:space="preserve">  1. 荣誉或奖励一览表</w:t>
      </w:r>
    </w:p>
    <w:p>
      <w:pPr>
        <w:adjustRightInd w:val="0"/>
        <w:snapToGrid w:val="0"/>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 xml:space="preserve">  2. 相应荣誉或奖励证明文件</w:t>
      </w:r>
    </w:p>
    <w:p>
      <w:pPr>
        <w:adjustRightInd w:val="0"/>
        <w:snapToGrid w:val="0"/>
        <w:spacing w:line="360" w:lineRule="auto"/>
        <w:jc w:val="center"/>
        <w:rPr>
          <w:b/>
          <w:bCs/>
          <w:color w:val="000000" w:themeColor="text1"/>
          <w:sz w:val="24"/>
          <w14:textFill>
            <w14:solidFill>
              <w14:schemeClr w14:val="tx1"/>
            </w14:solidFill>
          </w14:textFill>
        </w:rPr>
      </w:pPr>
    </w:p>
    <w:p>
      <w:pPr>
        <w:adjustRightInd w:val="0"/>
        <w:snapToGrid w:val="0"/>
        <w:spacing w:line="360" w:lineRule="auto"/>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附：同类业绩</w:t>
      </w:r>
    </w:p>
    <w:tbl>
      <w:tblPr>
        <w:tblStyle w:val="24"/>
        <w:tblW w:w="97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4" w:type="dxa"/>
          <w:bottom w:w="0" w:type="dxa"/>
          <w:right w:w="54" w:type="dxa"/>
        </w:tblCellMar>
      </w:tblPr>
      <w:tblGrid>
        <w:gridCol w:w="956"/>
        <w:gridCol w:w="2399"/>
        <w:gridCol w:w="2099"/>
        <w:gridCol w:w="2099"/>
        <w:gridCol w:w="2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454" w:hRule="atLeast"/>
          <w:jc w:val="center"/>
        </w:trPr>
        <w:tc>
          <w:tcPr>
            <w:tcW w:w="956" w:type="dxa"/>
            <w:vAlign w:val="center"/>
          </w:tcPr>
          <w:p>
            <w:pPr>
              <w:adjustRightInd w:val="0"/>
              <w:snapToGrid w:val="0"/>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年份</w:t>
            </w:r>
          </w:p>
        </w:tc>
        <w:tc>
          <w:tcPr>
            <w:tcW w:w="2399" w:type="dxa"/>
            <w:vAlign w:val="center"/>
          </w:tcPr>
          <w:p>
            <w:pPr>
              <w:adjustRightInd w:val="0"/>
              <w:snapToGrid w:val="0"/>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项目名称</w:t>
            </w:r>
          </w:p>
        </w:tc>
        <w:tc>
          <w:tcPr>
            <w:tcW w:w="2099" w:type="dxa"/>
            <w:vAlign w:val="center"/>
          </w:tcPr>
          <w:p>
            <w:pPr>
              <w:adjustRightInd w:val="0"/>
              <w:snapToGrid w:val="0"/>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项目获奖情况</w:t>
            </w:r>
          </w:p>
        </w:tc>
        <w:tc>
          <w:tcPr>
            <w:tcW w:w="2099" w:type="dxa"/>
            <w:vAlign w:val="center"/>
          </w:tcPr>
          <w:p>
            <w:pPr>
              <w:adjustRightInd w:val="0"/>
              <w:snapToGrid w:val="0"/>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项目简介</w:t>
            </w:r>
          </w:p>
        </w:tc>
        <w:tc>
          <w:tcPr>
            <w:tcW w:w="2193" w:type="dxa"/>
            <w:vAlign w:val="center"/>
          </w:tcPr>
          <w:p>
            <w:pPr>
              <w:adjustRightInd w:val="0"/>
              <w:snapToGrid w:val="0"/>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454" w:hRule="atLeast"/>
          <w:jc w:val="center"/>
        </w:trPr>
        <w:tc>
          <w:tcPr>
            <w:tcW w:w="956" w:type="dxa"/>
            <w:vAlign w:val="center"/>
          </w:tcPr>
          <w:p>
            <w:pPr>
              <w:adjustRightInd w:val="0"/>
              <w:snapToGrid w:val="0"/>
              <w:spacing w:line="360" w:lineRule="auto"/>
              <w:rPr>
                <w:color w:val="000000" w:themeColor="text1"/>
                <w:sz w:val="24"/>
                <w14:textFill>
                  <w14:solidFill>
                    <w14:schemeClr w14:val="tx1"/>
                  </w14:solidFill>
                </w14:textFill>
              </w:rPr>
            </w:pPr>
          </w:p>
        </w:tc>
        <w:tc>
          <w:tcPr>
            <w:tcW w:w="2399" w:type="dxa"/>
            <w:vAlign w:val="center"/>
          </w:tcPr>
          <w:p>
            <w:pPr>
              <w:adjustRightInd w:val="0"/>
              <w:snapToGrid w:val="0"/>
              <w:spacing w:line="360" w:lineRule="auto"/>
              <w:rPr>
                <w:color w:val="000000" w:themeColor="text1"/>
                <w:sz w:val="24"/>
                <w14:textFill>
                  <w14:solidFill>
                    <w14:schemeClr w14:val="tx1"/>
                  </w14:solidFill>
                </w14:textFill>
              </w:rPr>
            </w:pPr>
          </w:p>
        </w:tc>
        <w:tc>
          <w:tcPr>
            <w:tcW w:w="2099" w:type="dxa"/>
            <w:vAlign w:val="center"/>
          </w:tcPr>
          <w:p>
            <w:pPr>
              <w:adjustRightInd w:val="0"/>
              <w:snapToGrid w:val="0"/>
              <w:spacing w:line="360" w:lineRule="auto"/>
              <w:rPr>
                <w:color w:val="000000" w:themeColor="text1"/>
                <w:sz w:val="24"/>
                <w14:textFill>
                  <w14:solidFill>
                    <w14:schemeClr w14:val="tx1"/>
                  </w14:solidFill>
                </w14:textFill>
              </w:rPr>
            </w:pPr>
          </w:p>
        </w:tc>
        <w:tc>
          <w:tcPr>
            <w:tcW w:w="2099" w:type="dxa"/>
            <w:vAlign w:val="center"/>
          </w:tcPr>
          <w:p>
            <w:pPr>
              <w:adjustRightInd w:val="0"/>
              <w:snapToGrid w:val="0"/>
              <w:spacing w:line="360" w:lineRule="auto"/>
              <w:rPr>
                <w:color w:val="000000" w:themeColor="text1"/>
                <w:sz w:val="24"/>
                <w14:textFill>
                  <w14:solidFill>
                    <w14:schemeClr w14:val="tx1"/>
                  </w14:solidFill>
                </w14:textFill>
              </w:rPr>
            </w:pPr>
          </w:p>
        </w:tc>
        <w:tc>
          <w:tcPr>
            <w:tcW w:w="2193" w:type="dxa"/>
            <w:vAlign w:val="center"/>
          </w:tcPr>
          <w:p>
            <w:pPr>
              <w:adjustRightInd w:val="0"/>
              <w:snapToGrid w:val="0"/>
              <w:spacing w:line="360" w:lineRule="auto"/>
              <w:rPr>
                <w:color w:val="000000" w:themeColor="text1"/>
                <w:sz w:val="24"/>
                <w14:textFill>
                  <w14:solidFill>
                    <w14:schemeClr w14:val="tx1"/>
                  </w14:solidFill>
                </w14:textFill>
              </w:rPr>
            </w:pPr>
          </w:p>
        </w:tc>
      </w:tr>
    </w:tbl>
    <w:p>
      <w:pPr>
        <w:adjustRightInd w:val="0"/>
        <w:snapToGrid w:val="0"/>
        <w:spacing w:line="360" w:lineRule="auto"/>
        <w:rPr>
          <w:color w:val="000000" w:themeColor="text1"/>
          <w:sz w:val="24"/>
          <w14:textFill>
            <w14:solidFill>
              <w14:schemeClr w14:val="tx1"/>
            </w14:solidFill>
          </w14:textFill>
        </w:rPr>
      </w:pPr>
    </w:p>
    <w:p>
      <w:pPr>
        <w:adjustRightInd w:val="0"/>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投标单位公章：</w:t>
      </w:r>
    </w:p>
    <w:p>
      <w:pPr>
        <w:tabs>
          <w:tab w:val="left" w:pos="414"/>
          <w:tab w:val="left" w:pos="1974"/>
          <w:tab w:val="left" w:pos="3414"/>
          <w:tab w:val="left" w:pos="4854"/>
          <w:tab w:val="left" w:pos="6174"/>
          <w:tab w:val="left" w:pos="7614"/>
          <w:tab w:val="left" w:pos="9414"/>
        </w:tabs>
        <w:adjustRightInd w:val="0"/>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法人代表或被授权人签字：</w:t>
      </w:r>
    </w:p>
    <w:p>
      <w:pPr>
        <w:tabs>
          <w:tab w:val="left" w:pos="414"/>
          <w:tab w:val="left" w:pos="1974"/>
          <w:tab w:val="left" w:pos="3414"/>
          <w:tab w:val="left" w:pos="4854"/>
          <w:tab w:val="left" w:pos="6174"/>
          <w:tab w:val="left" w:pos="7614"/>
          <w:tab w:val="left" w:pos="9414"/>
        </w:tabs>
        <w:adjustRightInd w:val="0"/>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注：1.在备注中填写项目单位名称、联系人、联系电话等内容。</w:t>
      </w:r>
    </w:p>
    <w:p>
      <w:pPr>
        <w:tabs>
          <w:tab w:val="left" w:pos="414"/>
          <w:tab w:val="left" w:pos="1974"/>
          <w:tab w:val="left" w:pos="3414"/>
          <w:tab w:val="left" w:pos="4854"/>
          <w:tab w:val="left" w:pos="6174"/>
          <w:tab w:val="left" w:pos="7614"/>
          <w:tab w:val="left" w:pos="9414"/>
        </w:tabs>
        <w:adjustRightInd w:val="0"/>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2.需递交上述项目的证明材料：合同复印件（加盖公章），原件备查。</w:t>
      </w:r>
    </w:p>
    <w:p>
      <w:pPr>
        <w:tabs>
          <w:tab w:val="left" w:pos="414"/>
          <w:tab w:val="left" w:pos="1974"/>
          <w:tab w:val="left" w:pos="3414"/>
          <w:tab w:val="left" w:pos="4854"/>
          <w:tab w:val="left" w:pos="6174"/>
          <w:tab w:val="left" w:pos="7614"/>
          <w:tab w:val="left" w:pos="9414"/>
        </w:tabs>
        <w:adjustRightInd w:val="0"/>
        <w:snapToGrid w:val="0"/>
        <w:spacing w:line="360" w:lineRule="auto"/>
        <w:rPr>
          <w:bCs/>
          <w:color w:val="000000" w:themeColor="text1"/>
          <w:sz w:val="24"/>
          <w14:textFill>
            <w14:solidFill>
              <w14:schemeClr w14:val="tx1"/>
            </w14:solidFill>
          </w14:textFill>
        </w:rPr>
      </w:pPr>
      <w:r>
        <w:rPr>
          <w:color w:val="000000" w:themeColor="text1"/>
          <w:sz w:val="24"/>
          <w14:textFill>
            <w14:solidFill>
              <w14:schemeClr w14:val="tx1"/>
            </w14:solidFill>
          </w14:textFill>
        </w:rPr>
        <w:t>3. 提供的资料须齐全。</w:t>
      </w:r>
    </w:p>
    <w:p>
      <w:pPr>
        <w:spacing w:line="360" w:lineRule="auto"/>
        <w:rPr>
          <w:bCs/>
          <w:color w:val="000000" w:themeColor="text1"/>
          <w:sz w:val="24"/>
          <w14:textFill>
            <w14:solidFill>
              <w14:schemeClr w14:val="tx1"/>
            </w14:solidFill>
          </w14:textFill>
        </w:rPr>
      </w:pPr>
    </w:p>
    <w:p>
      <w:pPr>
        <w:jc w:val="center"/>
        <w:rPr>
          <w:color w:val="000000" w:themeColor="text1"/>
          <w14:textFill>
            <w14:solidFill>
              <w14:schemeClr w14:val="tx1"/>
            </w14:solidFill>
          </w14:textFill>
        </w:rPr>
      </w:pPr>
      <w:r>
        <w:rPr>
          <w:b/>
          <w:bCs/>
          <w:color w:val="000000" w:themeColor="text1"/>
          <w:sz w:val="32"/>
          <w:szCs w:val="32"/>
          <w14:textFill>
            <w14:solidFill>
              <w14:schemeClr w14:val="tx1"/>
            </w14:solidFill>
          </w14:textFill>
        </w:rPr>
        <w:br w:type="page"/>
      </w:r>
      <w:r>
        <w:rPr>
          <w:b/>
          <w:bCs/>
          <w:color w:val="000000" w:themeColor="text1"/>
          <w:sz w:val="32"/>
          <w:szCs w:val="32"/>
          <w14:textFill>
            <w14:solidFill>
              <w14:schemeClr w14:val="tx1"/>
            </w14:solidFill>
          </w14:textFill>
        </w:rPr>
        <w:t>八、项目管理班子配备情况（表1 ~表4）</w:t>
      </w:r>
    </w:p>
    <w:p>
      <w:pPr>
        <w:spacing w:after="60"/>
        <w:jc w:val="center"/>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表1  项目管理班子配备情况表</w:t>
      </w:r>
    </w:p>
    <w:tbl>
      <w:tblPr>
        <w:tblStyle w:val="24"/>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900"/>
        <w:gridCol w:w="900"/>
        <w:gridCol w:w="1188"/>
        <w:gridCol w:w="720"/>
        <w:gridCol w:w="720"/>
        <w:gridCol w:w="720"/>
        <w:gridCol w:w="1300"/>
        <w:gridCol w:w="86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vMerge w:val="restart"/>
            <w:vAlign w:val="center"/>
          </w:tcPr>
          <w:p>
            <w:pPr>
              <w:spacing w:before="40" w:after="2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职务</w:t>
            </w:r>
          </w:p>
        </w:tc>
        <w:tc>
          <w:tcPr>
            <w:tcW w:w="900" w:type="dxa"/>
            <w:vMerge w:val="restart"/>
            <w:vAlign w:val="center"/>
          </w:tcPr>
          <w:p>
            <w:pPr>
              <w:spacing w:before="40" w:after="2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姓名</w:t>
            </w:r>
          </w:p>
        </w:tc>
        <w:tc>
          <w:tcPr>
            <w:tcW w:w="900" w:type="dxa"/>
            <w:vMerge w:val="restart"/>
            <w:vAlign w:val="center"/>
          </w:tcPr>
          <w:p>
            <w:pPr>
              <w:spacing w:before="40" w:after="2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职称</w:t>
            </w:r>
          </w:p>
        </w:tc>
        <w:tc>
          <w:tcPr>
            <w:tcW w:w="4648" w:type="dxa"/>
            <w:gridSpan w:val="5"/>
            <w:vAlign w:val="center"/>
          </w:tcPr>
          <w:p>
            <w:pPr>
              <w:spacing w:before="40" w:after="2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上岗资格证明</w:t>
            </w:r>
          </w:p>
        </w:tc>
        <w:tc>
          <w:tcPr>
            <w:tcW w:w="1940" w:type="dxa"/>
            <w:gridSpan w:val="2"/>
            <w:vAlign w:val="center"/>
          </w:tcPr>
          <w:p>
            <w:pPr>
              <w:spacing w:before="40" w:after="2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已承担在建项目情况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vMerge w:val="continue"/>
            <w:vAlign w:val="center"/>
          </w:tcPr>
          <w:p>
            <w:pPr>
              <w:spacing w:before="40" w:after="20"/>
              <w:jc w:val="center"/>
              <w:rPr>
                <w:color w:val="000000" w:themeColor="text1"/>
                <w:sz w:val="18"/>
                <w:szCs w:val="18"/>
                <w14:textFill>
                  <w14:solidFill>
                    <w14:schemeClr w14:val="tx1"/>
                  </w14:solidFill>
                </w14:textFill>
              </w:rPr>
            </w:pPr>
          </w:p>
        </w:tc>
        <w:tc>
          <w:tcPr>
            <w:tcW w:w="900" w:type="dxa"/>
            <w:vMerge w:val="continue"/>
            <w:vAlign w:val="center"/>
          </w:tcPr>
          <w:p>
            <w:pPr>
              <w:spacing w:before="40" w:after="20"/>
              <w:jc w:val="center"/>
              <w:rPr>
                <w:color w:val="000000" w:themeColor="text1"/>
                <w:sz w:val="18"/>
                <w:szCs w:val="18"/>
                <w14:textFill>
                  <w14:solidFill>
                    <w14:schemeClr w14:val="tx1"/>
                  </w14:solidFill>
                </w14:textFill>
              </w:rPr>
            </w:pPr>
          </w:p>
        </w:tc>
        <w:tc>
          <w:tcPr>
            <w:tcW w:w="900" w:type="dxa"/>
            <w:vMerge w:val="continue"/>
            <w:vAlign w:val="center"/>
          </w:tcPr>
          <w:p>
            <w:pPr>
              <w:spacing w:before="40" w:after="20"/>
              <w:jc w:val="center"/>
              <w:rPr>
                <w:color w:val="000000" w:themeColor="text1"/>
                <w:sz w:val="18"/>
                <w:szCs w:val="18"/>
                <w14:textFill>
                  <w14:solidFill>
                    <w14:schemeClr w14:val="tx1"/>
                  </w14:solidFill>
                </w14:textFill>
              </w:rPr>
            </w:pPr>
          </w:p>
        </w:tc>
        <w:tc>
          <w:tcPr>
            <w:tcW w:w="1188" w:type="dxa"/>
            <w:vAlign w:val="center"/>
          </w:tcPr>
          <w:p>
            <w:pPr>
              <w:spacing w:before="40" w:after="2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证书名称</w:t>
            </w:r>
          </w:p>
        </w:tc>
        <w:tc>
          <w:tcPr>
            <w:tcW w:w="720" w:type="dxa"/>
            <w:vAlign w:val="center"/>
          </w:tcPr>
          <w:p>
            <w:pPr>
              <w:spacing w:before="40" w:after="2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级别</w:t>
            </w:r>
          </w:p>
        </w:tc>
        <w:tc>
          <w:tcPr>
            <w:tcW w:w="720" w:type="dxa"/>
            <w:vAlign w:val="center"/>
          </w:tcPr>
          <w:p>
            <w:pPr>
              <w:spacing w:before="40" w:after="2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证号</w:t>
            </w:r>
          </w:p>
        </w:tc>
        <w:tc>
          <w:tcPr>
            <w:tcW w:w="720" w:type="dxa"/>
            <w:vAlign w:val="center"/>
          </w:tcPr>
          <w:p>
            <w:pPr>
              <w:spacing w:before="40" w:after="2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专业</w:t>
            </w:r>
          </w:p>
        </w:tc>
        <w:tc>
          <w:tcPr>
            <w:tcW w:w="1300" w:type="dxa"/>
            <w:vAlign w:val="center"/>
          </w:tcPr>
          <w:p>
            <w:pPr>
              <w:spacing w:before="40" w:after="2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原服务单位</w:t>
            </w:r>
          </w:p>
        </w:tc>
        <w:tc>
          <w:tcPr>
            <w:tcW w:w="860" w:type="dxa"/>
            <w:vAlign w:val="center"/>
          </w:tcPr>
          <w:p>
            <w:pPr>
              <w:spacing w:before="40" w:after="2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项目数</w:t>
            </w:r>
          </w:p>
        </w:tc>
        <w:tc>
          <w:tcPr>
            <w:tcW w:w="1080" w:type="dxa"/>
            <w:vAlign w:val="center"/>
          </w:tcPr>
          <w:p>
            <w:pPr>
              <w:spacing w:before="40" w:after="2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tcPr>
          <w:p>
            <w:pPr>
              <w:spacing w:before="40" w:after="20"/>
              <w:jc w:val="center"/>
              <w:rPr>
                <w:color w:val="000000" w:themeColor="text1"/>
                <w:sz w:val="18"/>
                <w:szCs w:val="18"/>
                <w14:textFill>
                  <w14:solidFill>
                    <w14:schemeClr w14:val="tx1"/>
                  </w14:solidFill>
                </w14:textFill>
              </w:rPr>
            </w:pPr>
          </w:p>
        </w:tc>
        <w:tc>
          <w:tcPr>
            <w:tcW w:w="900" w:type="dxa"/>
          </w:tcPr>
          <w:p>
            <w:pPr>
              <w:spacing w:before="40" w:after="20"/>
              <w:jc w:val="center"/>
              <w:rPr>
                <w:color w:val="000000" w:themeColor="text1"/>
                <w:sz w:val="18"/>
                <w:szCs w:val="18"/>
                <w14:textFill>
                  <w14:solidFill>
                    <w14:schemeClr w14:val="tx1"/>
                  </w14:solidFill>
                </w14:textFill>
              </w:rPr>
            </w:pPr>
          </w:p>
        </w:tc>
        <w:tc>
          <w:tcPr>
            <w:tcW w:w="900" w:type="dxa"/>
          </w:tcPr>
          <w:p>
            <w:pPr>
              <w:spacing w:before="40" w:after="20"/>
              <w:jc w:val="center"/>
              <w:rPr>
                <w:color w:val="000000" w:themeColor="text1"/>
                <w:sz w:val="18"/>
                <w:szCs w:val="18"/>
                <w14:textFill>
                  <w14:solidFill>
                    <w14:schemeClr w14:val="tx1"/>
                  </w14:solidFill>
                </w14:textFill>
              </w:rPr>
            </w:pPr>
          </w:p>
        </w:tc>
        <w:tc>
          <w:tcPr>
            <w:tcW w:w="1188" w:type="dxa"/>
          </w:tcPr>
          <w:p>
            <w:pPr>
              <w:spacing w:before="40" w:after="20"/>
              <w:jc w:val="center"/>
              <w:rPr>
                <w:color w:val="000000" w:themeColor="text1"/>
                <w:sz w:val="18"/>
                <w:szCs w:val="18"/>
                <w14:textFill>
                  <w14:solidFill>
                    <w14:schemeClr w14:val="tx1"/>
                  </w14:solidFill>
                </w14:textFill>
              </w:rPr>
            </w:pPr>
          </w:p>
        </w:tc>
        <w:tc>
          <w:tcPr>
            <w:tcW w:w="720" w:type="dxa"/>
          </w:tcPr>
          <w:p>
            <w:pPr>
              <w:spacing w:before="40" w:after="20"/>
              <w:jc w:val="center"/>
              <w:rPr>
                <w:color w:val="000000" w:themeColor="text1"/>
                <w:sz w:val="18"/>
                <w:szCs w:val="18"/>
                <w14:textFill>
                  <w14:solidFill>
                    <w14:schemeClr w14:val="tx1"/>
                  </w14:solidFill>
                </w14:textFill>
              </w:rPr>
            </w:pPr>
          </w:p>
        </w:tc>
        <w:tc>
          <w:tcPr>
            <w:tcW w:w="720" w:type="dxa"/>
          </w:tcPr>
          <w:p>
            <w:pPr>
              <w:spacing w:before="40" w:after="20"/>
              <w:jc w:val="center"/>
              <w:rPr>
                <w:color w:val="000000" w:themeColor="text1"/>
                <w:sz w:val="18"/>
                <w:szCs w:val="18"/>
                <w14:textFill>
                  <w14:solidFill>
                    <w14:schemeClr w14:val="tx1"/>
                  </w14:solidFill>
                </w14:textFill>
              </w:rPr>
            </w:pPr>
          </w:p>
        </w:tc>
        <w:tc>
          <w:tcPr>
            <w:tcW w:w="720" w:type="dxa"/>
          </w:tcPr>
          <w:p>
            <w:pPr>
              <w:spacing w:before="40" w:after="20"/>
              <w:jc w:val="center"/>
              <w:rPr>
                <w:color w:val="000000" w:themeColor="text1"/>
                <w:sz w:val="18"/>
                <w:szCs w:val="18"/>
                <w14:textFill>
                  <w14:solidFill>
                    <w14:schemeClr w14:val="tx1"/>
                  </w14:solidFill>
                </w14:textFill>
              </w:rPr>
            </w:pPr>
          </w:p>
        </w:tc>
        <w:tc>
          <w:tcPr>
            <w:tcW w:w="1300" w:type="dxa"/>
          </w:tcPr>
          <w:p>
            <w:pPr>
              <w:spacing w:before="40" w:after="20"/>
              <w:jc w:val="center"/>
              <w:rPr>
                <w:color w:val="000000" w:themeColor="text1"/>
                <w:sz w:val="18"/>
                <w:szCs w:val="18"/>
                <w14:textFill>
                  <w14:solidFill>
                    <w14:schemeClr w14:val="tx1"/>
                  </w14:solidFill>
                </w14:textFill>
              </w:rPr>
            </w:pPr>
          </w:p>
        </w:tc>
        <w:tc>
          <w:tcPr>
            <w:tcW w:w="860" w:type="dxa"/>
          </w:tcPr>
          <w:p>
            <w:pPr>
              <w:spacing w:before="40" w:after="20"/>
              <w:jc w:val="center"/>
              <w:rPr>
                <w:color w:val="000000" w:themeColor="text1"/>
                <w:sz w:val="18"/>
                <w:szCs w:val="18"/>
                <w14:textFill>
                  <w14:solidFill>
                    <w14:schemeClr w14:val="tx1"/>
                  </w14:solidFill>
                </w14:textFill>
              </w:rPr>
            </w:pPr>
          </w:p>
        </w:tc>
        <w:tc>
          <w:tcPr>
            <w:tcW w:w="1080" w:type="dxa"/>
          </w:tcPr>
          <w:p>
            <w:pPr>
              <w:spacing w:before="40" w:after="2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tcPr>
          <w:p>
            <w:pPr>
              <w:spacing w:before="40" w:after="20"/>
              <w:jc w:val="center"/>
              <w:rPr>
                <w:color w:val="000000" w:themeColor="text1"/>
                <w:sz w:val="18"/>
                <w:szCs w:val="18"/>
                <w14:textFill>
                  <w14:solidFill>
                    <w14:schemeClr w14:val="tx1"/>
                  </w14:solidFill>
                </w14:textFill>
              </w:rPr>
            </w:pPr>
          </w:p>
        </w:tc>
        <w:tc>
          <w:tcPr>
            <w:tcW w:w="900" w:type="dxa"/>
          </w:tcPr>
          <w:p>
            <w:pPr>
              <w:spacing w:before="40" w:after="20"/>
              <w:jc w:val="center"/>
              <w:rPr>
                <w:color w:val="000000" w:themeColor="text1"/>
                <w:sz w:val="18"/>
                <w:szCs w:val="18"/>
                <w14:textFill>
                  <w14:solidFill>
                    <w14:schemeClr w14:val="tx1"/>
                  </w14:solidFill>
                </w14:textFill>
              </w:rPr>
            </w:pPr>
          </w:p>
        </w:tc>
        <w:tc>
          <w:tcPr>
            <w:tcW w:w="900" w:type="dxa"/>
          </w:tcPr>
          <w:p>
            <w:pPr>
              <w:spacing w:before="40" w:after="20"/>
              <w:jc w:val="center"/>
              <w:rPr>
                <w:color w:val="000000" w:themeColor="text1"/>
                <w:sz w:val="18"/>
                <w:szCs w:val="18"/>
                <w14:textFill>
                  <w14:solidFill>
                    <w14:schemeClr w14:val="tx1"/>
                  </w14:solidFill>
                </w14:textFill>
              </w:rPr>
            </w:pPr>
          </w:p>
        </w:tc>
        <w:tc>
          <w:tcPr>
            <w:tcW w:w="1188" w:type="dxa"/>
          </w:tcPr>
          <w:p>
            <w:pPr>
              <w:spacing w:before="40" w:after="20"/>
              <w:jc w:val="center"/>
              <w:rPr>
                <w:color w:val="000000" w:themeColor="text1"/>
                <w:sz w:val="18"/>
                <w:szCs w:val="18"/>
                <w14:textFill>
                  <w14:solidFill>
                    <w14:schemeClr w14:val="tx1"/>
                  </w14:solidFill>
                </w14:textFill>
              </w:rPr>
            </w:pPr>
          </w:p>
        </w:tc>
        <w:tc>
          <w:tcPr>
            <w:tcW w:w="720" w:type="dxa"/>
          </w:tcPr>
          <w:p>
            <w:pPr>
              <w:spacing w:before="40" w:after="20"/>
              <w:jc w:val="center"/>
              <w:rPr>
                <w:color w:val="000000" w:themeColor="text1"/>
                <w:sz w:val="18"/>
                <w:szCs w:val="18"/>
                <w14:textFill>
                  <w14:solidFill>
                    <w14:schemeClr w14:val="tx1"/>
                  </w14:solidFill>
                </w14:textFill>
              </w:rPr>
            </w:pPr>
          </w:p>
        </w:tc>
        <w:tc>
          <w:tcPr>
            <w:tcW w:w="720" w:type="dxa"/>
          </w:tcPr>
          <w:p>
            <w:pPr>
              <w:spacing w:before="40" w:after="20"/>
              <w:jc w:val="center"/>
              <w:rPr>
                <w:color w:val="000000" w:themeColor="text1"/>
                <w:sz w:val="18"/>
                <w:szCs w:val="18"/>
                <w14:textFill>
                  <w14:solidFill>
                    <w14:schemeClr w14:val="tx1"/>
                  </w14:solidFill>
                </w14:textFill>
              </w:rPr>
            </w:pPr>
          </w:p>
        </w:tc>
        <w:tc>
          <w:tcPr>
            <w:tcW w:w="720" w:type="dxa"/>
          </w:tcPr>
          <w:p>
            <w:pPr>
              <w:spacing w:before="40" w:after="20"/>
              <w:jc w:val="center"/>
              <w:rPr>
                <w:color w:val="000000" w:themeColor="text1"/>
                <w:sz w:val="18"/>
                <w:szCs w:val="18"/>
                <w14:textFill>
                  <w14:solidFill>
                    <w14:schemeClr w14:val="tx1"/>
                  </w14:solidFill>
                </w14:textFill>
              </w:rPr>
            </w:pPr>
          </w:p>
        </w:tc>
        <w:tc>
          <w:tcPr>
            <w:tcW w:w="1300" w:type="dxa"/>
          </w:tcPr>
          <w:p>
            <w:pPr>
              <w:spacing w:before="40" w:after="20"/>
              <w:jc w:val="center"/>
              <w:rPr>
                <w:color w:val="000000" w:themeColor="text1"/>
                <w:sz w:val="18"/>
                <w:szCs w:val="18"/>
                <w14:textFill>
                  <w14:solidFill>
                    <w14:schemeClr w14:val="tx1"/>
                  </w14:solidFill>
                </w14:textFill>
              </w:rPr>
            </w:pPr>
          </w:p>
        </w:tc>
        <w:tc>
          <w:tcPr>
            <w:tcW w:w="860" w:type="dxa"/>
          </w:tcPr>
          <w:p>
            <w:pPr>
              <w:spacing w:before="40" w:after="20"/>
              <w:jc w:val="center"/>
              <w:rPr>
                <w:color w:val="000000" w:themeColor="text1"/>
                <w:sz w:val="18"/>
                <w:szCs w:val="18"/>
                <w14:textFill>
                  <w14:solidFill>
                    <w14:schemeClr w14:val="tx1"/>
                  </w14:solidFill>
                </w14:textFill>
              </w:rPr>
            </w:pPr>
          </w:p>
        </w:tc>
        <w:tc>
          <w:tcPr>
            <w:tcW w:w="1080" w:type="dxa"/>
          </w:tcPr>
          <w:p>
            <w:pPr>
              <w:spacing w:before="40" w:after="2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0" w:type="dxa"/>
            <w:gridSpan w:val="10"/>
          </w:tcPr>
          <w:p>
            <w:pPr>
              <w:spacing w:before="40" w:after="2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本项目一旦我单位中标，将实行项目经理负责制，并配备上述项目管理班子，上述所报内容真实，否则，愿按有关规定接受处理，项目管理班子机构处置、职责分工等情况另附资料说明。</w:t>
            </w:r>
          </w:p>
        </w:tc>
      </w:tr>
    </w:tbl>
    <w:p>
      <w:pPr>
        <w:ind w:firstLine="1859" w:firstLineChars="882"/>
        <w:rPr>
          <w:b/>
          <w:bCs/>
          <w:color w:val="000000" w:themeColor="text1"/>
          <w:szCs w:val="21"/>
          <w14:textFill>
            <w14:solidFill>
              <w14:schemeClr w14:val="tx1"/>
            </w14:solidFill>
          </w14:textFill>
        </w:rPr>
      </w:pPr>
    </w:p>
    <w:p>
      <w:pPr>
        <w:spacing w:after="60"/>
        <w:jc w:val="center"/>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表2  项目经理简历表</w:t>
      </w:r>
    </w:p>
    <w:tbl>
      <w:tblPr>
        <w:tblStyle w:val="24"/>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60"/>
        <w:gridCol w:w="720"/>
        <w:gridCol w:w="1063"/>
        <w:gridCol w:w="197"/>
        <w:gridCol w:w="1080"/>
        <w:gridCol w:w="214"/>
        <w:gridCol w:w="1548"/>
        <w:gridCol w:w="218"/>
        <w:gridCol w:w="720"/>
        <w:gridCol w:w="180"/>
        <w:gridCol w:w="468"/>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Align w:val="center"/>
          </w:tcPr>
          <w:p>
            <w:pPr>
              <w:spacing w:before="20" w:after="2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姓名</w:t>
            </w:r>
          </w:p>
        </w:tc>
        <w:tc>
          <w:tcPr>
            <w:tcW w:w="2340" w:type="dxa"/>
            <w:gridSpan w:val="4"/>
            <w:vAlign w:val="center"/>
          </w:tcPr>
          <w:p>
            <w:pPr>
              <w:spacing w:before="20" w:after="20"/>
              <w:jc w:val="center"/>
              <w:rPr>
                <w:color w:val="000000" w:themeColor="text1"/>
                <w:sz w:val="18"/>
                <w:szCs w:val="18"/>
                <w14:textFill>
                  <w14:solidFill>
                    <w14:schemeClr w14:val="tx1"/>
                  </w14:solidFill>
                </w14:textFill>
              </w:rPr>
            </w:pPr>
          </w:p>
        </w:tc>
        <w:tc>
          <w:tcPr>
            <w:tcW w:w="1080" w:type="dxa"/>
            <w:vAlign w:val="center"/>
          </w:tcPr>
          <w:p>
            <w:pPr>
              <w:spacing w:before="20" w:after="2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性别</w:t>
            </w:r>
          </w:p>
        </w:tc>
        <w:tc>
          <w:tcPr>
            <w:tcW w:w="1762" w:type="dxa"/>
            <w:gridSpan w:val="2"/>
            <w:vAlign w:val="center"/>
          </w:tcPr>
          <w:p>
            <w:pPr>
              <w:spacing w:before="20" w:after="20"/>
              <w:jc w:val="center"/>
              <w:rPr>
                <w:color w:val="000000" w:themeColor="text1"/>
                <w:sz w:val="18"/>
                <w:szCs w:val="18"/>
                <w14:textFill>
                  <w14:solidFill>
                    <w14:schemeClr w14:val="tx1"/>
                  </w14:solidFill>
                </w14:textFill>
              </w:rPr>
            </w:pPr>
          </w:p>
        </w:tc>
        <w:tc>
          <w:tcPr>
            <w:tcW w:w="1118" w:type="dxa"/>
            <w:gridSpan w:val="3"/>
            <w:vAlign w:val="center"/>
          </w:tcPr>
          <w:p>
            <w:pPr>
              <w:spacing w:before="20" w:after="2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年龄</w:t>
            </w:r>
          </w:p>
        </w:tc>
        <w:tc>
          <w:tcPr>
            <w:tcW w:w="1548" w:type="dxa"/>
            <w:gridSpan w:val="2"/>
            <w:vAlign w:val="center"/>
          </w:tcPr>
          <w:p>
            <w:pPr>
              <w:spacing w:before="20" w:after="2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Align w:val="center"/>
          </w:tcPr>
          <w:p>
            <w:pPr>
              <w:spacing w:before="20" w:after="2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职务</w:t>
            </w:r>
          </w:p>
        </w:tc>
        <w:tc>
          <w:tcPr>
            <w:tcW w:w="2340" w:type="dxa"/>
            <w:gridSpan w:val="4"/>
            <w:vAlign w:val="center"/>
          </w:tcPr>
          <w:p>
            <w:pPr>
              <w:spacing w:before="20" w:after="20"/>
              <w:jc w:val="center"/>
              <w:rPr>
                <w:color w:val="000000" w:themeColor="text1"/>
                <w:sz w:val="18"/>
                <w:szCs w:val="18"/>
                <w14:textFill>
                  <w14:solidFill>
                    <w14:schemeClr w14:val="tx1"/>
                  </w14:solidFill>
                </w14:textFill>
              </w:rPr>
            </w:pPr>
          </w:p>
        </w:tc>
        <w:tc>
          <w:tcPr>
            <w:tcW w:w="1080" w:type="dxa"/>
            <w:vAlign w:val="center"/>
          </w:tcPr>
          <w:p>
            <w:pPr>
              <w:spacing w:before="20" w:after="2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职称</w:t>
            </w:r>
          </w:p>
        </w:tc>
        <w:tc>
          <w:tcPr>
            <w:tcW w:w="1762" w:type="dxa"/>
            <w:gridSpan w:val="2"/>
            <w:vAlign w:val="center"/>
          </w:tcPr>
          <w:p>
            <w:pPr>
              <w:spacing w:before="20" w:after="20"/>
              <w:jc w:val="center"/>
              <w:rPr>
                <w:color w:val="000000" w:themeColor="text1"/>
                <w:sz w:val="18"/>
                <w:szCs w:val="18"/>
                <w14:textFill>
                  <w14:solidFill>
                    <w14:schemeClr w14:val="tx1"/>
                  </w14:solidFill>
                </w14:textFill>
              </w:rPr>
            </w:pPr>
          </w:p>
        </w:tc>
        <w:tc>
          <w:tcPr>
            <w:tcW w:w="1118" w:type="dxa"/>
            <w:gridSpan w:val="3"/>
            <w:vAlign w:val="center"/>
          </w:tcPr>
          <w:p>
            <w:pPr>
              <w:spacing w:before="20" w:after="2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学历</w:t>
            </w:r>
          </w:p>
        </w:tc>
        <w:tc>
          <w:tcPr>
            <w:tcW w:w="1548" w:type="dxa"/>
            <w:gridSpan w:val="2"/>
            <w:vAlign w:val="center"/>
          </w:tcPr>
          <w:p>
            <w:pPr>
              <w:spacing w:before="20" w:after="2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2" w:type="dxa"/>
            <w:gridSpan w:val="3"/>
            <w:vAlign w:val="center"/>
          </w:tcPr>
          <w:p>
            <w:pPr>
              <w:spacing w:before="20" w:after="2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参加工作时间</w:t>
            </w:r>
          </w:p>
        </w:tc>
        <w:tc>
          <w:tcPr>
            <w:tcW w:w="2554" w:type="dxa"/>
            <w:gridSpan w:val="4"/>
            <w:vAlign w:val="center"/>
          </w:tcPr>
          <w:p>
            <w:pPr>
              <w:spacing w:before="20" w:after="20"/>
              <w:jc w:val="center"/>
              <w:rPr>
                <w:color w:val="000000" w:themeColor="text1"/>
                <w:sz w:val="18"/>
                <w:szCs w:val="18"/>
                <w14:textFill>
                  <w14:solidFill>
                    <w14:schemeClr w14:val="tx1"/>
                  </w14:solidFill>
                </w14:textFill>
              </w:rPr>
            </w:pPr>
          </w:p>
        </w:tc>
        <w:tc>
          <w:tcPr>
            <w:tcW w:w="2486" w:type="dxa"/>
            <w:gridSpan w:val="3"/>
            <w:vAlign w:val="center"/>
          </w:tcPr>
          <w:p>
            <w:pPr>
              <w:spacing w:before="20" w:after="2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从事项目经理年限</w:t>
            </w:r>
          </w:p>
        </w:tc>
        <w:tc>
          <w:tcPr>
            <w:tcW w:w="1728" w:type="dxa"/>
            <w:gridSpan w:val="3"/>
            <w:vAlign w:val="center"/>
          </w:tcPr>
          <w:p>
            <w:pPr>
              <w:spacing w:before="20" w:after="2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2" w:type="dxa"/>
            <w:gridSpan w:val="5"/>
            <w:vAlign w:val="center"/>
          </w:tcPr>
          <w:p>
            <w:pPr>
              <w:spacing w:before="20" w:after="2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资格证书编号</w:t>
            </w:r>
          </w:p>
        </w:tc>
        <w:tc>
          <w:tcPr>
            <w:tcW w:w="5508" w:type="dxa"/>
            <w:gridSpan w:val="8"/>
            <w:vAlign w:val="center"/>
          </w:tcPr>
          <w:p>
            <w:pPr>
              <w:spacing w:before="20" w:after="2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0" w:type="dxa"/>
            <w:gridSpan w:val="13"/>
            <w:vAlign w:val="center"/>
          </w:tcPr>
          <w:p>
            <w:pPr>
              <w:spacing w:before="20" w:after="2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在建和已完成项目情况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2" w:type="dxa"/>
            <w:gridSpan w:val="2"/>
            <w:vAlign w:val="center"/>
          </w:tcPr>
          <w:p>
            <w:pPr>
              <w:spacing w:before="20" w:after="2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单位</w:t>
            </w:r>
          </w:p>
        </w:tc>
        <w:tc>
          <w:tcPr>
            <w:tcW w:w="1783" w:type="dxa"/>
            <w:gridSpan w:val="2"/>
            <w:vAlign w:val="center"/>
          </w:tcPr>
          <w:p>
            <w:pPr>
              <w:spacing w:before="20" w:after="2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项目名称</w:t>
            </w:r>
          </w:p>
        </w:tc>
        <w:tc>
          <w:tcPr>
            <w:tcW w:w="1491" w:type="dxa"/>
            <w:gridSpan w:val="3"/>
            <w:vAlign w:val="center"/>
          </w:tcPr>
          <w:p>
            <w:pPr>
              <w:spacing w:before="20" w:after="2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规模/级别</w:t>
            </w:r>
          </w:p>
        </w:tc>
        <w:tc>
          <w:tcPr>
            <w:tcW w:w="1766" w:type="dxa"/>
            <w:gridSpan w:val="2"/>
            <w:vAlign w:val="center"/>
          </w:tcPr>
          <w:p>
            <w:pPr>
              <w:spacing w:before="20" w:after="2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项目开始和完成期</w:t>
            </w:r>
          </w:p>
        </w:tc>
        <w:tc>
          <w:tcPr>
            <w:tcW w:w="1368" w:type="dxa"/>
            <w:gridSpan w:val="3"/>
            <w:vAlign w:val="center"/>
          </w:tcPr>
          <w:p>
            <w:pPr>
              <w:spacing w:before="20" w:after="2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状态（在建或已完）</w:t>
            </w:r>
          </w:p>
        </w:tc>
        <w:tc>
          <w:tcPr>
            <w:tcW w:w="1080" w:type="dxa"/>
            <w:vAlign w:val="center"/>
          </w:tcPr>
          <w:p>
            <w:pPr>
              <w:spacing w:before="20" w:after="2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2" w:type="dxa"/>
            <w:gridSpan w:val="2"/>
            <w:vAlign w:val="center"/>
          </w:tcPr>
          <w:p>
            <w:pPr>
              <w:spacing w:before="20" w:after="20"/>
              <w:jc w:val="center"/>
              <w:rPr>
                <w:color w:val="000000" w:themeColor="text1"/>
                <w:sz w:val="18"/>
                <w:szCs w:val="18"/>
                <w14:textFill>
                  <w14:solidFill>
                    <w14:schemeClr w14:val="tx1"/>
                  </w14:solidFill>
                </w14:textFill>
              </w:rPr>
            </w:pPr>
          </w:p>
        </w:tc>
        <w:tc>
          <w:tcPr>
            <w:tcW w:w="1783" w:type="dxa"/>
            <w:gridSpan w:val="2"/>
            <w:vAlign w:val="center"/>
          </w:tcPr>
          <w:p>
            <w:pPr>
              <w:spacing w:before="20" w:after="20"/>
              <w:jc w:val="center"/>
              <w:rPr>
                <w:color w:val="000000" w:themeColor="text1"/>
                <w:sz w:val="18"/>
                <w:szCs w:val="18"/>
                <w14:textFill>
                  <w14:solidFill>
                    <w14:schemeClr w14:val="tx1"/>
                  </w14:solidFill>
                </w14:textFill>
              </w:rPr>
            </w:pPr>
          </w:p>
        </w:tc>
        <w:tc>
          <w:tcPr>
            <w:tcW w:w="1491" w:type="dxa"/>
            <w:gridSpan w:val="3"/>
            <w:vAlign w:val="center"/>
          </w:tcPr>
          <w:p>
            <w:pPr>
              <w:spacing w:before="20" w:after="20"/>
              <w:jc w:val="center"/>
              <w:rPr>
                <w:color w:val="000000" w:themeColor="text1"/>
                <w:sz w:val="18"/>
                <w:szCs w:val="18"/>
                <w14:textFill>
                  <w14:solidFill>
                    <w14:schemeClr w14:val="tx1"/>
                  </w14:solidFill>
                </w14:textFill>
              </w:rPr>
            </w:pPr>
          </w:p>
        </w:tc>
        <w:tc>
          <w:tcPr>
            <w:tcW w:w="1766" w:type="dxa"/>
            <w:gridSpan w:val="2"/>
            <w:vAlign w:val="center"/>
          </w:tcPr>
          <w:p>
            <w:pPr>
              <w:spacing w:before="20" w:after="20"/>
              <w:jc w:val="center"/>
              <w:rPr>
                <w:color w:val="000000" w:themeColor="text1"/>
                <w:sz w:val="18"/>
                <w:szCs w:val="18"/>
                <w14:textFill>
                  <w14:solidFill>
                    <w14:schemeClr w14:val="tx1"/>
                  </w14:solidFill>
                </w14:textFill>
              </w:rPr>
            </w:pPr>
          </w:p>
        </w:tc>
        <w:tc>
          <w:tcPr>
            <w:tcW w:w="1368" w:type="dxa"/>
            <w:gridSpan w:val="3"/>
            <w:vAlign w:val="center"/>
          </w:tcPr>
          <w:p>
            <w:pPr>
              <w:spacing w:before="20" w:after="20"/>
              <w:jc w:val="center"/>
              <w:rPr>
                <w:color w:val="000000" w:themeColor="text1"/>
                <w:sz w:val="18"/>
                <w:szCs w:val="18"/>
                <w14:textFill>
                  <w14:solidFill>
                    <w14:schemeClr w14:val="tx1"/>
                  </w14:solidFill>
                </w14:textFill>
              </w:rPr>
            </w:pPr>
          </w:p>
        </w:tc>
        <w:tc>
          <w:tcPr>
            <w:tcW w:w="1080" w:type="dxa"/>
            <w:vAlign w:val="center"/>
          </w:tcPr>
          <w:p>
            <w:pPr>
              <w:spacing w:before="20" w:after="20"/>
              <w:jc w:val="center"/>
              <w:rPr>
                <w:color w:val="000000" w:themeColor="text1"/>
                <w:sz w:val="18"/>
                <w:szCs w:val="18"/>
                <w14:textFill>
                  <w14:solidFill>
                    <w14:schemeClr w14:val="tx1"/>
                  </w14:solidFill>
                </w14:textFill>
              </w:rPr>
            </w:pPr>
          </w:p>
        </w:tc>
      </w:tr>
    </w:tbl>
    <w:p>
      <w:pPr>
        <w:spacing w:after="60"/>
        <w:jc w:val="center"/>
        <w:rPr>
          <w:rFonts w:eastAsia="黑体"/>
          <w:bCs/>
          <w:color w:val="000000" w:themeColor="text1"/>
          <w:sz w:val="24"/>
          <w14:textFill>
            <w14:solidFill>
              <w14:schemeClr w14:val="tx1"/>
            </w14:solidFill>
          </w14:textFill>
        </w:rPr>
      </w:pPr>
    </w:p>
    <w:p>
      <w:pPr>
        <w:spacing w:after="60"/>
        <w:jc w:val="center"/>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表3 项目负责人简历表</w:t>
      </w:r>
    </w:p>
    <w:tbl>
      <w:tblPr>
        <w:tblStyle w:val="24"/>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359"/>
        <w:gridCol w:w="719"/>
        <w:gridCol w:w="1080"/>
        <w:gridCol w:w="1080"/>
        <w:gridCol w:w="152"/>
        <w:gridCol w:w="1790"/>
        <w:gridCol w:w="10"/>
        <w:gridCol w:w="928"/>
        <w:gridCol w:w="180"/>
        <w:gridCol w:w="263"/>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spacing w:before="20" w:after="2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姓名</w:t>
            </w:r>
          </w:p>
        </w:tc>
        <w:tc>
          <w:tcPr>
            <w:tcW w:w="2158" w:type="dxa"/>
            <w:gridSpan w:val="3"/>
            <w:vAlign w:val="center"/>
          </w:tcPr>
          <w:p>
            <w:pPr>
              <w:spacing w:before="20" w:after="20"/>
              <w:jc w:val="center"/>
              <w:rPr>
                <w:color w:val="000000" w:themeColor="text1"/>
                <w:sz w:val="18"/>
                <w:szCs w:val="18"/>
                <w14:textFill>
                  <w14:solidFill>
                    <w14:schemeClr w14:val="tx1"/>
                  </w14:solidFill>
                </w14:textFill>
              </w:rPr>
            </w:pPr>
          </w:p>
        </w:tc>
        <w:tc>
          <w:tcPr>
            <w:tcW w:w="1080" w:type="dxa"/>
            <w:vAlign w:val="center"/>
          </w:tcPr>
          <w:p>
            <w:pPr>
              <w:spacing w:before="20" w:after="2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性别</w:t>
            </w:r>
          </w:p>
        </w:tc>
        <w:tc>
          <w:tcPr>
            <w:tcW w:w="1942" w:type="dxa"/>
            <w:gridSpan w:val="2"/>
            <w:vAlign w:val="center"/>
          </w:tcPr>
          <w:p>
            <w:pPr>
              <w:spacing w:before="20" w:after="20"/>
              <w:jc w:val="center"/>
              <w:rPr>
                <w:color w:val="000000" w:themeColor="text1"/>
                <w:sz w:val="18"/>
                <w:szCs w:val="18"/>
                <w14:textFill>
                  <w14:solidFill>
                    <w14:schemeClr w14:val="tx1"/>
                  </w14:solidFill>
                </w14:textFill>
              </w:rPr>
            </w:pPr>
          </w:p>
        </w:tc>
        <w:tc>
          <w:tcPr>
            <w:tcW w:w="1118" w:type="dxa"/>
            <w:gridSpan w:val="3"/>
            <w:vAlign w:val="center"/>
          </w:tcPr>
          <w:p>
            <w:pPr>
              <w:spacing w:before="20" w:after="2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年龄</w:t>
            </w:r>
          </w:p>
        </w:tc>
        <w:tc>
          <w:tcPr>
            <w:tcW w:w="1551" w:type="dxa"/>
            <w:gridSpan w:val="2"/>
            <w:vAlign w:val="center"/>
          </w:tcPr>
          <w:p>
            <w:pPr>
              <w:spacing w:before="20" w:after="2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spacing w:before="20" w:after="2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职务</w:t>
            </w:r>
          </w:p>
        </w:tc>
        <w:tc>
          <w:tcPr>
            <w:tcW w:w="2158" w:type="dxa"/>
            <w:gridSpan w:val="3"/>
            <w:vAlign w:val="center"/>
          </w:tcPr>
          <w:p>
            <w:pPr>
              <w:spacing w:before="20" w:after="20"/>
              <w:jc w:val="center"/>
              <w:rPr>
                <w:color w:val="000000" w:themeColor="text1"/>
                <w:sz w:val="18"/>
                <w:szCs w:val="18"/>
                <w14:textFill>
                  <w14:solidFill>
                    <w14:schemeClr w14:val="tx1"/>
                  </w14:solidFill>
                </w14:textFill>
              </w:rPr>
            </w:pPr>
          </w:p>
        </w:tc>
        <w:tc>
          <w:tcPr>
            <w:tcW w:w="1080" w:type="dxa"/>
            <w:vAlign w:val="center"/>
          </w:tcPr>
          <w:p>
            <w:pPr>
              <w:spacing w:before="20" w:after="2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职称</w:t>
            </w:r>
          </w:p>
        </w:tc>
        <w:tc>
          <w:tcPr>
            <w:tcW w:w="1942" w:type="dxa"/>
            <w:gridSpan w:val="2"/>
            <w:vAlign w:val="center"/>
          </w:tcPr>
          <w:p>
            <w:pPr>
              <w:spacing w:before="20" w:after="20"/>
              <w:jc w:val="center"/>
              <w:rPr>
                <w:color w:val="000000" w:themeColor="text1"/>
                <w:sz w:val="18"/>
                <w:szCs w:val="18"/>
                <w14:textFill>
                  <w14:solidFill>
                    <w14:schemeClr w14:val="tx1"/>
                  </w14:solidFill>
                </w14:textFill>
              </w:rPr>
            </w:pPr>
          </w:p>
        </w:tc>
        <w:tc>
          <w:tcPr>
            <w:tcW w:w="1118" w:type="dxa"/>
            <w:gridSpan w:val="3"/>
            <w:vAlign w:val="center"/>
          </w:tcPr>
          <w:p>
            <w:pPr>
              <w:spacing w:before="20" w:after="2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学历</w:t>
            </w:r>
          </w:p>
        </w:tc>
        <w:tc>
          <w:tcPr>
            <w:tcW w:w="1551" w:type="dxa"/>
            <w:gridSpan w:val="2"/>
            <w:vAlign w:val="center"/>
          </w:tcPr>
          <w:p>
            <w:pPr>
              <w:spacing w:before="20" w:after="2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vAlign w:val="center"/>
          </w:tcPr>
          <w:p>
            <w:pPr>
              <w:spacing w:before="20" w:after="2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参加工作时间</w:t>
            </w:r>
          </w:p>
        </w:tc>
        <w:tc>
          <w:tcPr>
            <w:tcW w:w="2160" w:type="dxa"/>
            <w:gridSpan w:val="2"/>
            <w:vAlign w:val="center"/>
          </w:tcPr>
          <w:p>
            <w:pPr>
              <w:spacing w:before="20" w:after="20"/>
              <w:jc w:val="center"/>
              <w:rPr>
                <w:color w:val="000000" w:themeColor="text1"/>
                <w:sz w:val="18"/>
                <w:szCs w:val="18"/>
                <w14:textFill>
                  <w14:solidFill>
                    <w14:schemeClr w14:val="tx1"/>
                  </w14:solidFill>
                </w14:textFill>
              </w:rPr>
            </w:pPr>
          </w:p>
        </w:tc>
        <w:tc>
          <w:tcPr>
            <w:tcW w:w="2880" w:type="dxa"/>
            <w:gridSpan w:val="4"/>
            <w:vAlign w:val="center"/>
          </w:tcPr>
          <w:p>
            <w:pPr>
              <w:spacing w:before="20" w:after="2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从事项目负责人年限</w:t>
            </w:r>
          </w:p>
        </w:tc>
        <w:tc>
          <w:tcPr>
            <w:tcW w:w="1731" w:type="dxa"/>
            <w:gridSpan w:val="3"/>
            <w:vAlign w:val="center"/>
          </w:tcPr>
          <w:p>
            <w:pPr>
              <w:spacing w:before="20" w:after="2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vAlign w:val="center"/>
          </w:tcPr>
          <w:p>
            <w:pPr>
              <w:spacing w:before="20" w:after="2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资格证书编号</w:t>
            </w:r>
          </w:p>
        </w:tc>
        <w:tc>
          <w:tcPr>
            <w:tcW w:w="5691" w:type="dxa"/>
            <w:gridSpan w:val="8"/>
            <w:vAlign w:val="center"/>
          </w:tcPr>
          <w:p>
            <w:pPr>
              <w:spacing w:before="20" w:after="2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0" w:type="dxa"/>
            <w:gridSpan w:val="12"/>
            <w:vAlign w:val="center"/>
          </w:tcPr>
          <w:p>
            <w:pPr>
              <w:spacing w:before="20" w:after="2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在建和已完成项目情况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0" w:type="dxa"/>
            <w:gridSpan w:val="2"/>
            <w:vAlign w:val="center"/>
          </w:tcPr>
          <w:p>
            <w:pPr>
              <w:spacing w:before="20" w:after="2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单位</w:t>
            </w:r>
          </w:p>
        </w:tc>
        <w:tc>
          <w:tcPr>
            <w:tcW w:w="1799" w:type="dxa"/>
            <w:gridSpan w:val="2"/>
            <w:vAlign w:val="center"/>
          </w:tcPr>
          <w:p>
            <w:pPr>
              <w:spacing w:before="20" w:after="2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项目名称</w:t>
            </w:r>
          </w:p>
        </w:tc>
        <w:tc>
          <w:tcPr>
            <w:tcW w:w="1232" w:type="dxa"/>
            <w:gridSpan w:val="2"/>
            <w:vAlign w:val="center"/>
          </w:tcPr>
          <w:p>
            <w:pPr>
              <w:spacing w:before="20" w:after="2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规模/级别</w:t>
            </w:r>
          </w:p>
        </w:tc>
        <w:tc>
          <w:tcPr>
            <w:tcW w:w="1800" w:type="dxa"/>
            <w:gridSpan w:val="2"/>
            <w:vAlign w:val="center"/>
          </w:tcPr>
          <w:p>
            <w:pPr>
              <w:spacing w:before="20" w:after="2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项目开始和完成期</w:t>
            </w:r>
          </w:p>
        </w:tc>
        <w:tc>
          <w:tcPr>
            <w:tcW w:w="1371" w:type="dxa"/>
            <w:gridSpan w:val="3"/>
            <w:vAlign w:val="center"/>
          </w:tcPr>
          <w:p>
            <w:pPr>
              <w:spacing w:before="20" w:after="2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状态（在建或已完）</w:t>
            </w:r>
          </w:p>
        </w:tc>
        <w:tc>
          <w:tcPr>
            <w:tcW w:w="1288" w:type="dxa"/>
            <w:vAlign w:val="center"/>
          </w:tcPr>
          <w:p>
            <w:pPr>
              <w:spacing w:before="20" w:after="2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0" w:type="dxa"/>
            <w:gridSpan w:val="2"/>
            <w:vAlign w:val="center"/>
          </w:tcPr>
          <w:p>
            <w:pPr>
              <w:spacing w:before="20" w:after="20"/>
              <w:jc w:val="center"/>
              <w:rPr>
                <w:color w:val="000000" w:themeColor="text1"/>
                <w:sz w:val="18"/>
                <w:szCs w:val="18"/>
                <w14:textFill>
                  <w14:solidFill>
                    <w14:schemeClr w14:val="tx1"/>
                  </w14:solidFill>
                </w14:textFill>
              </w:rPr>
            </w:pPr>
          </w:p>
        </w:tc>
        <w:tc>
          <w:tcPr>
            <w:tcW w:w="1799" w:type="dxa"/>
            <w:gridSpan w:val="2"/>
            <w:vAlign w:val="center"/>
          </w:tcPr>
          <w:p>
            <w:pPr>
              <w:spacing w:before="20" w:after="20"/>
              <w:jc w:val="center"/>
              <w:rPr>
                <w:color w:val="000000" w:themeColor="text1"/>
                <w:sz w:val="18"/>
                <w:szCs w:val="18"/>
                <w14:textFill>
                  <w14:solidFill>
                    <w14:schemeClr w14:val="tx1"/>
                  </w14:solidFill>
                </w14:textFill>
              </w:rPr>
            </w:pPr>
          </w:p>
        </w:tc>
        <w:tc>
          <w:tcPr>
            <w:tcW w:w="1232" w:type="dxa"/>
            <w:gridSpan w:val="2"/>
            <w:vAlign w:val="center"/>
          </w:tcPr>
          <w:p>
            <w:pPr>
              <w:spacing w:before="20" w:after="20"/>
              <w:jc w:val="center"/>
              <w:rPr>
                <w:color w:val="000000" w:themeColor="text1"/>
                <w:sz w:val="18"/>
                <w:szCs w:val="18"/>
                <w14:textFill>
                  <w14:solidFill>
                    <w14:schemeClr w14:val="tx1"/>
                  </w14:solidFill>
                </w14:textFill>
              </w:rPr>
            </w:pPr>
          </w:p>
        </w:tc>
        <w:tc>
          <w:tcPr>
            <w:tcW w:w="1800" w:type="dxa"/>
            <w:gridSpan w:val="2"/>
            <w:vAlign w:val="center"/>
          </w:tcPr>
          <w:p>
            <w:pPr>
              <w:spacing w:before="20" w:after="20"/>
              <w:jc w:val="center"/>
              <w:rPr>
                <w:color w:val="000000" w:themeColor="text1"/>
                <w:sz w:val="18"/>
                <w:szCs w:val="18"/>
                <w14:textFill>
                  <w14:solidFill>
                    <w14:schemeClr w14:val="tx1"/>
                  </w14:solidFill>
                </w14:textFill>
              </w:rPr>
            </w:pPr>
          </w:p>
        </w:tc>
        <w:tc>
          <w:tcPr>
            <w:tcW w:w="1371" w:type="dxa"/>
            <w:gridSpan w:val="3"/>
            <w:vAlign w:val="center"/>
          </w:tcPr>
          <w:p>
            <w:pPr>
              <w:spacing w:before="20" w:after="20"/>
              <w:jc w:val="center"/>
              <w:rPr>
                <w:color w:val="000000" w:themeColor="text1"/>
                <w:sz w:val="18"/>
                <w:szCs w:val="18"/>
                <w14:textFill>
                  <w14:solidFill>
                    <w14:schemeClr w14:val="tx1"/>
                  </w14:solidFill>
                </w14:textFill>
              </w:rPr>
            </w:pPr>
          </w:p>
        </w:tc>
        <w:tc>
          <w:tcPr>
            <w:tcW w:w="1288" w:type="dxa"/>
            <w:vAlign w:val="center"/>
          </w:tcPr>
          <w:p>
            <w:pPr>
              <w:spacing w:before="20" w:after="20"/>
              <w:jc w:val="center"/>
              <w:rPr>
                <w:color w:val="000000" w:themeColor="text1"/>
                <w:sz w:val="18"/>
                <w:szCs w:val="18"/>
                <w14:textFill>
                  <w14:solidFill>
                    <w14:schemeClr w14:val="tx1"/>
                  </w14:solidFill>
                </w14:textFill>
              </w:rPr>
            </w:pPr>
          </w:p>
        </w:tc>
      </w:tr>
    </w:tbl>
    <w:p>
      <w:pPr>
        <w:spacing w:after="60"/>
        <w:jc w:val="center"/>
        <w:rPr>
          <w:rFonts w:eastAsia="黑体"/>
          <w:bCs/>
          <w:color w:val="000000" w:themeColor="text1"/>
          <w:sz w:val="24"/>
          <w14:textFill>
            <w14:solidFill>
              <w14:schemeClr w14:val="tx1"/>
            </w14:solidFill>
          </w14:textFill>
        </w:rPr>
      </w:pPr>
    </w:p>
    <w:p>
      <w:pPr>
        <w:spacing w:after="60"/>
        <w:jc w:val="center"/>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表4  项目管理班子配备情况辅助说明资料</w:t>
      </w:r>
    </w:p>
    <w:tbl>
      <w:tblPr>
        <w:tblStyle w:val="24"/>
        <w:tblW w:w="93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9360" w:type="dxa"/>
          </w:tcPr>
          <w:p>
            <w:pPr>
              <w:spacing w:line="360" w:lineRule="auto"/>
              <w:rPr>
                <w:b/>
                <w:bCs/>
                <w:color w:val="000000" w:themeColor="text1"/>
                <w14:textFill>
                  <w14:solidFill>
                    <w14:schemeClr w14:val="tx1"/>
                  </w14:solidFill>
                </w14:textFill>
              </w:rPr>
            </w:pPr>
          </w:p>
        </w:tc>
      </w:tr>
    </w:tbl>
    <w:p>
      <w:pPr>
        <w:rPr>
          <w:rFonts w:eastAsia="楷体_GB2312"/>
          <w:b/>
          <w:bCs/>
          <w:color w:val="000000" w:themeColor="text1"/>
          <w14:textFill>
            <w14:solidFill>
              <w14:schemeClr w14:val="tx1"/>
            </w14:solidFill>
          </w14:textFill>
        </w:rPr>
      </w:pPr>
      <w:r>
        <w:rPr>
          <w:b/>
          <w:bCs/>
          <w:color w:val="000000" w:themeColor="text1"/>
          <w14:textFill>
            <w14:solidFill>
              <w14:schemeClr w14:val="tx1"/>
            </w14:solidFill>
          </w14:textFill>
        </w:rPr>
        <w:t>注：</w:t>
      </w:r>
      <w:r>
        <w:rPr>
          <w:bCs/>
          <w:color w:val="000000" w:themeColor="text1"/>
          <w14:textFill>
            <w14:solidFill>
              <w14:schemeClr w14:val="tx1"/>
            </w14:solidFill>
          </w14:textFill>
        </w:rPr>
        <w:t>辅助说明资料主要包括管理班子机构设置、职责分工、有关复印证明资料以及投标人认为有必要提供的资料，辅助说明资料格式不做统一规定，由投标人自行设计</w:t>
      </w:r>
      <w:r>
        <w:rPr>
          <w:rFonts w:eastAsia="楷体_GB2312"/>
          <w:bCs/>
          <w:color w:val="000000" w:themeColor="text1"/>
          <w14:textFill>
            <w14:solidFill>
              <w14:schemeClr w14:val="tx1"/>
            </w14:solidFill>
          </w14:textFill>
        </w:rPr>
        <w:t>。</w:t>
      </w:r>
    </w:p>
    <w:p>
      <w:pPr>
        <w:spacing w:line="360" w:lineRule="auto"/>
        <w:ind w:firstLine="316" w:firstLineChars="150"/>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附上证书复印件</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3"/>
        <w:spacing w:before="120" w:after="120"/>
        <w:jc w:val="center"/>
        <w:rPr>
          <w:color w:val="000000" w:themeColor="text1"/>
          <w14:textFill>
            <w14:solidFill>
              <w14:schemeClr w14:val="tx1"/>
            </w14:solidFill>
          </w14:textFill>
        </w:rPr>
      </w:pPr>
      <w:r>
        <w:rPr>
          <w:color w:val="000000" w:themeColor="text1"/>
          <w14:textFill>
            <w14:solidFill>
              <w14:schemeClr w14:val="tx1"/>
            </w14:solidFill>
          </w14:textFill>
        </w:rPr>
        <w:t>九、项目实施方案</w:t>
      </w:r>
    </w:p>
    <w:p>
      <w:pP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主要内容应包括（可根据项目实际情况适当调整内容）</w:t>
      </w:r>
    </w:p>
    <w:p>
      <w:pP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1.项目策划；</w:t>
      </w:r>
    </w:p>
    <w:p>
      <w:pP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2. 项目所采用开发技术；</w:t>
      </w:r>
    </w:p>
    <w:p>
      <w:pP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 xml:space="preserve">3. </w:t>
      </w:r>
      <w:r>
        <w:rPr>
          <w:rFonts w:hint="eastAsia"/>
          <w:color w:val="000000" w:themeColor="text1"/>
          <w14:textFill>
            <w14:solidFill>
              <w14:schemeClr w14:val="tx1"/>
            </w14:solidFill>
          </w14:textFill>
        </w:rPr>
        <w:t>进度计划；</w:t>
      </w:r>
    </w:p>
    <w:p>
      <w:pP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 xml:space="preserve">4. </w:t>
      </w:r>
      <w:r>
        <w:rPr>
          <w:rFonts w:hint="eastAsia"/>
          <w:color w:val="000000" w:themeColor="text1"/>
          <w14:textFill>
            <w14:solidFill>
              <w14:schemeClr w14:val="tx1"/>
            </w14:solidFill>
          </w14:textFill>
        </w:rPr>
        <w:t>开发流程</w:t>
      </w:r>
      <w:r>
        <w:rPr>
          <w:bCs/>
          <w:color w:val="000000" w:themeColor="text1"/>
          <w:szCs w:val="21"/>
          <w14:textFill>
            <w14:solidFill>
              <w14:schemeClr w14:val="tx1"/>
            </w14:solidFill>
          </w14:textFill>
        </w:rPr>
        <w:t>；</w:t>
      </w:r>
    </w:p>
    <w:p>
      <w:pP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 xml:space="preserve">5. </w:t>
      </w:r>
      <w:r>
        <w:rPr>
          <w:rFonts w:hint="eastAsia"/>
          <w:color w:val="000000" w:themeColor="text1"/>
          <w14:textFill>
            <w14:solidFill>
              <w14:schemeClr w14:val="tx1"/>
            </w14:solidFill>
          </w14:textFill>
        </w:rPr>
        <w:t>项目管理系统应用</w:t>
      </w:r>
      <w:r>
        <w:rPr>
          <w:bCs/>
          <w:color w:val="000000" w:themeColor="text1"/>
          <w:szCs w:val="21"/>
          <w14:textFill>
            <w14:solidFill>
              <w14:schemeClr w14:val="tx1"/>
            </w14:solidFill>
          </w14:textFill>
        </w:rPr>
        <w:t>；</w:t>
      </w:r>
    </w:p>
    <w:p>
      <w:pP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6. 其它相关配套措施。</w:t>
      </w:r>
    </w:p>
    <w:p>
      <w:pPr>
        <w:rPr>
          <w:bCs/>
          <w:color w:val="000000" w:themeColor="text1"/>
          <w:szCs w:val="21"/>
          <w14:textFill>
            <w14:solidFill>
              <w14:schemeClr w14:val="tx1"/>
            </w14:solidFill>
          </w14:textFill>
        </w:rPr>
      </w:pPr>
    </w:p>
    <w:p>
      <w:pPr>
        <w:pStyle w:val="3"/>
        <w:spacing w:before="120" w:after="120"/>
        <w:jc w:val="center"/>
        <w:rPr>
          <w:color w:val="000000" w:themeColor="text1"/>
          <w14:textFill>
            <w14:solidFill>
              <w14:schemeClr w14:val="tx1"/>
            </w14:solidFill>
          </w14:textFill>
        </w:rPr>
      </w:pPr>
      <w:r>
        <w:rPr>
          <w:color w:val="000000" w:themeColor="text1"/>
          <w14:textFill>
            <w14:solidFill>
              <w14:schemeClr w14:val="tx1"/>
            </w14:solidFill>
          </w14:textFill>
        </w:rPr>
        <w:t>十、服务条款</w:t>
      </w:r>
    </w:p>
    <w:p>
      <w:pP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主要内容应包括(根据项目实际情况适当调整内容)：</w:t>
      </w:r>
    </w:p>
    <w:p>
      <w:pP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1．优质服务项目</w:t>
      </w:r>
    </w:p>
    <w:p>
      <w:pP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2．服务机构介绍</w:t>
      </w:r>
    </w:p>
    <w:p>
      <w:pP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4．非免费服务收费标准</w:t>
      </w:r>
    </w:p>
    <w:p>
      <w:pP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5．质量保证及违约承诺（在履约期间如出现违约情况时所承担的责任和义务）；</w:t>
      </w:r>
    </w:p>
    <w:p>
      <w:pP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6．培训措施及相关服务承诺。</w:t>
      </w:r>
    </w:p>
    <w:p>
      <w:pPr>
        <w:pStyle w:val="3"/>
        <w:spacing w:before="120" w:after="120"/>
        <w:jc w:val="center"/>
        <w:rPr>
          <w:color w:val="000000" w:themeColor="text1"/>
          <w14:textFill>
            <w14:solidFill>
              <w14:schemeClr w14:val="tx1"/>
            </w14:solidFill>
          </w14:textFill>
        </w:rPr>
      </w:pPr>
      <w:r>
        <w:rPr>
          <w:color w:val="000000" w:themeColor="text1"/>
          <w14:textFill>
            <w14:solidFill>
              <w14:schemeClr w14:val="tx1"/>
            </w14:solidFill>
          </w14:textFill>
        </w:rPr>
        <w:t>十一、商务条款偏离表</w:t>
      </w:r>
    </w:p>
    <w:p>
      <w:pP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投标人名称：项目编号：</w:t>
      </w:r>
    </w:p>
    <w:tbl>
      <w:tblPr>
        <w:tblStyle w:val="24"/>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1971"/>
        <w:gridCol w:w="1971"/>
        <w:gridCol w:w="1971"/>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序号</w:t>
            </w:r>
          </w:p>
        </w:tc>
        <w:tc>
          <w:tcPr>
            <w:tcW w:w="1971" w:type="dxa"/>
          </w:tcPr>
          <w:p>
            <w:pP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招标文件商务条款</w:t>
            </w:r>
          </w:p>
        </w:tc>
        <w:tc>
          <w:tcPr>
            <w:tcW w:w="1971" w:type="dxa"/>
          </w:tcPr>
          <w:p>
            <w:pP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投标文件商务条款</w:t>
            </w:r>
          </w:p>
        </w:tc>
        <w:tc>
          <w:tcPr>
            <w:tcW w:w="1971" w:type="dxa"/>
          </w:tcPr>
          <w:p>
            <w:pP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偏离情况</w:t>
            </w:r>
          </w:p>
        </w:tc>
        <w:tc>
          <w:tcPr>
            <w:tcW w:w="1971" w:type="dxa"/>
          </w:tcPr>
          <w:p>
            <w:pP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rPr>
                <w:bCs/>
                <w:color w:val="000000" w:themeColor="text1"/>
                <w:szCs w:val="21"/>
                <w14:textFill>
                  <w14:solidFill>
                    <w14:schemeClr w14:val="tx1"/>
                  </w14:solidFill>
                </w14:textFill>
              </w:rPr>
            </w:pPr>
          </w:p>
        </w:tc>
        <w:tc>
          <w:tcPr>
            <w:tcW w:w="1971" w:type="dxa"/>
          </w:tcPr>
          <w:p>
            <w:pPr>
              <w:rPr>
                <w:bCs/>
                <w:color w:val="000000" w:themeColor="text1"/>
                <w:szCs w:val="21"/>
                <w14:textFill>
                  <w14:solidFill>
                    <w14:schemeClr w14:val="tx1"/>
                  </w14:solidFill>
                </w14:textFill>
              </w:rPr>
            </w:pPr>
          </w:p>
        </w:tc>
        <w:tc>
          <w:tcPr>
            <w:tcW w:w="1971" w:type="dxa"/>
          </w:tcPr>
          <w:p>
            <w:pPr>
              <w:rPr>
                <w:bCs/>
                <w:color w:val="000000" w:themeColor="text1"/>
                <w:szCs w:val="21"/>
                <w14:textFill>
                  <w14:solidFill>
                    <w14:schemeClr w14:val="tx1"/>
                  </w14:solidFill>
                </w14:textFill>
              </w:rPr>
            </w:pPr>
          </w:p>
        </w:tc>
        <w:tc>
          <w:tcPr>
            <w:tcW w:w="1971" w:type="dxa"/>
          </w:tcPr>
          <w:p>
            <w:pPr>
              <w:rPr>
                <w:bCs/>
                <w:color w:val="000000" w:themeColor="text1"/>
                <w:szCs w:val="21"/>
                <w14:textFill>
                  <w14:solidFill>
                    <w14:schemeClr w14:val="tx1"/>
                  </w14:solidFill>
                </w14:textFill>
              </w:rPr>
            </w:pPr>
          </w:p>
        </w:tc>
        <w:tc>
          <w:tcPr>
            <w:tcW w:w="1971" w:type="dxa"/>
          </w:tcPr>
          <w:p>
            <w:pPr>
              <w:rPr>
                <w:bCs/>
                <w:color w:val="000000" w:themeColor="text1"/>
                <w:szCs w:val="21"/>
                <w14:textFill>
                  <w14:solidFill>
                    <w14:schemeClr w14:val="tx1"/>
                  </w14:solidFill>
                </w14:textFill>
              </w:rPr>
            </w:pPr>
          </w:p>
        </w:tc>
      </w:tr>
    </w:tbl>
    <w:p>
      <w:pPr>
        <w:pStyle w:val="3"/>
        <w:spacing w:before="120" w:after="120"/>
        <w:jc w:val="center"/>
        <w:rPr>
          <w:color w:val="000000" w:themeColor="text1"/>
          <w14:textFill>
            <w14:solidFill>
              <w14:schemeClr w14:val="tx1"/>
            </w14:solidFill>
          </w14:textFill>
        </w:rPr>
      </w:pPr>
      <w:r>
        <w:rPr>
          <w:color w:val="000000" w:themeColor="text1"/>
          <w14:textFill>
            <w14:solidFill>
              <w14:schemeClr w14:val="tx1"/>
            </w14:solidFill>
          </w14:textFill>
        </w:rPr>
        <w:t>十二、技术规格偏离表</w:t>
      </w:r>
    </w:p>
    <w:p>
      <w:pP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投标人名称：项目编号：</w:t>
      </w:r>
    </w:p>
    <w:tbl>
      <w:tblPr>
        <w:tblStyle w:val="24"/>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1642"/>
        <w:gridCol w:w="1642"/>
        <w:gridCol w:w="1642"/>
        <w:gridCol w:w="1643"/>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tcPr>
          <w:p>
            <w:pP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序号</w:t>
            </w:r>
          </w:p>
        </w:tc>
        <w:tc>
          <w:tcPr>
            <w:tcW w:w="1642" w:type="dxa"/>
          </w:tcPr>
          <w:p>
            <w:pP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服务名称</w:t>
            </w:r>
          </w:p>
        </w:tc>
        <w:tc>
          <w:tcPr>
            <w:tcW w:w="1642" w:type="dxa"/>
          </w:tcPr>
          <w:p>
            <w:pP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招标要求</w:t>
            </w:r>
          </w:p>
        </w:tc>
        <w:tc>
          <w:tcPr>
            <w:tcW w:w="1642" w:type="dxa"/>
          </w:tcPr>
          <w:p>
            <w:pP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投标要求</w:t>
            </w:r>
          </w:p>
        </w:tc>
        <w:tc>
          <w:tcPr>
            <w:tcW w:w="1643" w:type="dxa"/>
          </w:tcPr>
          <w:p>
            <w:pP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偏离情况</w:t>
            </w:r>
          </w:p>
        </w:tc>
        <w:tc>
          <w:tcPr>
            <w:tcW w:w="1643" w:type="dxa"/>
          </w:tcPr>
          <w:p>
            <w:pP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tcPr>
          <w:p>
            <w:pPr>
              <w:rPr>
                <w:bCs/>
                <w:color w:val="000000" w:themeColor="text1"/>
                <w:szCs w:val="21"/>
                <w14:textFill>
                  <w14:solidFill>
                    <w14:schemeClr w14:val="tx1"/>
                  </w14:solidFill>
                </w14:textFill>
              </w:rPr>
            </w:pPr>
          </w:p>
        </w:tc>
        <w:tc>
          <w:tcPr>
            <w:tcW w:w="1642" w:type="dxa"/>
          </w:tcPr>
          <w:p>
            <w:pPr>
              <w:rPr>
                <w:bCs/>
                <w:color w:val="000000" w:themeColor="text1"/>
                <w:szCs w:val="21"/>
                <w14:textFill>
                  <w14:solidFill>
                    <w14:schemeClr w14:val="tx1"/>
                  </w14:solidFill>
                </w14:textFill>
              </w:rPr>
            </w:pPr>
          </w:p>
        </w:tc>
        <w:tc>
          <w:tcPr>
            <w:tcW w:w="1642" w:type="dxa"/>
          </w:tcPr>
          <w:p>
            <w:pPr>
              <w:rPr>
                <w:bCs/>
                <w:color w:val="000000" w:themeColor="text1"/>
                <w:szCs w:val="21"/>
                <w14:textFill>
                  <w14:solidFill>
                    <w14:schemeClr w14:val="tx1"/>
                  </w14:solidFill>
                </w14:textFill>
              </w:rPr>
            </w:pPr>
          </w:p>
        </w:tc>
        <w:tc>
          <w:tcPr>
            <w:tcW w:w="1642" w:type="dxa"/>
          </w:tcPr>
          <w:p>
            <w:pPr>
              <w:rPr>
                <w:bCs/>
                <w:color w:val="000000" w:themeColor="text1"/>
                <w:szCs w:val="21"/>
                <w14:textFill>
                  <w14:solidFill>
                    <w14:schemeClr w14:val="tx1"/>
                  </w14:solidFill>
                </w14:textFill>
              </w:rPr>
            </w:pPr>
          </w:p>
        </w:tc>
        <w:tc>
          <w:tcPr>
            <w:tcW w:w="1643" w:type="dxa"/>
          </w:tcPr>
          <w:p>
            <w:pPr>
              <w:rPr>
                <w:bCs/>
                <w:color w:val="000000" w:themeColor="text1"/>
                <w:szCs w:val="21"/>
                <w14:textFill>
                  <w14:solidFill>
                    <w14:schemeClr w14:val="tx1"/>
                  </w14:solidFill>
                </w14:textFill>
              </w:rPr>
            </w:pPr>
          </w:p>
        </w:tc>
        <w:tc>
          <w:tcPr>
            <w:tcW w:w="1643" w:type="dxa"/>
          </w:tcPr>
          <w:p>
            <w:pPr>
              <w:rPr>
                <w:bCs/>
                <w:color w:val="000000" w:themeColor="text1"/>
                <w:szCs w:val="21"/>
                <w14:textFill>
                  <w14:solidFill>
                    <w14:schemeClr w14:val="tx1"/>
                  </w14:solidFill>
                </w14:textFill>
              </w:rPr>
            </w:pPr>
          </w:p>
        </w:tc>
      </w:tr>
    </w:tbl>
    <w:p>
      <w:pPr>
        <w:autoSpaceDE w:val="0"/>
        <w:autoSpaceDN w:val="0"/>
        <w:adjustRightInd w:val="0"/>
        <w:jc w:val="left"/>
        <w:rPr>
          <w:rFonts w:ascii="宋体"/>
          <w:color w:val="000000" w:themeColor="text1"/>
          <w:kern w:val="0"/>
          <w:szCs w:val="21"/>
          <w14:textFill>
            <w14:solidFill>
              <w14:schemeClr w14:val="tx1"/>
            </w14:solidFill>
          </w14:textFill>
        </w:rPr>
      </w:pPr>
      <w:r>
        <w:rPr>
          <w:rFonts w:ascii="宋体"/>
          <w:color w:val="000000" w:themeColor="text1"/>
          <w:kern w:val="0"/>
          <w:szCs w:val="21"/>
          <w14:textFill>
            <w14:solidFill>
              <w14:schemeClr w14:val="tx1"/>
            </w14:solidFill>
          </w14:textFill>
        </w:rPr>
        <w:t xml:space="preserve">说明： </w:t>
      </w:r>
    </w:p>
    <w:p>
      <w:pPr>
        <w:adjustRightInd w:val="0"/>
        <w:snapToGrid w:val="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投标人必须对应招标文件的第</w:t>
      </w:r>
      <w:r>
        <w:rPr>
          <w:rFonts w:hint="eastAsia"/>
          <w:bCs/>
          <w:color w:val="000000" w:themeColor="text1"/>
          <w:szCs w:val="21"/>
          <w14:textFill>
            <w14:solidFill>
              <w14:schemeClr w14:val="tx1"/>
            </w14:solidFill>
          </w14:textFill>
        </w:rPr>
        <w:t>二</w:t>
      </w:r>
      <w:r>
        <w:rPr>
          <w:bCs/>
          <w:color w:val="000000" w:themeColor="text1"/>
          <w:szCs w:val="21"/>
          <w14:textFill>
            <w14:solidFill>
              <w14:schemeClr w14:val="tx1"/>
            </w14:solidFill>
          </w14:textFill>
        </w:rPr>
        <w:t>部分</w:t>
      </w:r>
      <w:r>
        <w:rPr>
          <w:rFonts w:hint="eastAsia"/>
          <w:bCs/>
          <w:color w:val="000000" w:themeColor="text1"/>
          <w:szCs w:val="21"/>
          <w14:textFill>
            <w14:solidFill>
              <w14:schemeClr w14:val="tx1"/>
            </w14:solidFill>
          </w14:textFill>
        </w:rPr>
        <w:t>“</w:t>
      </w:r>
      <w:r>
        <w:rPr>
          <w:bCs/>
          <w:color w:val="000000" w:themeColor="text1"/>
          <w:szCs w:val="21"/>
          <w14:textFill>
            <w14:solidFill>
              <w14:schemeClr w14:val="tx1"/>
            </w14:solidFill>
          </w14:textFill>
        </w:rPr>
        <w:t>用户需求书</w:t>
      </w:r>
      <w:r>
        <w:rPr>
          <w:rFonts w:hint="eastAsia"/>
          <w:bCs/>
          <w:color w:val="000000" w:themeColor="text1"/>
          <w:szCs w:val="21"/>
          <w14:textFill>
            <w14:solidFill>
              <w14:schemeClr w14:val="tx1"/>
            </w14:solidFill>
          </w14:textFill>
        </w:rPr>
        <w:t>”</w:t>
      </w:r>
      <w:r>
        <w:rPr>
          <w:bCs/>
          <w:color w:val="000000" w:themeColor="text1"/>
          <w:szCs w:val="21"/>
          <w14:textFill>
            <w14:solidFill>
              <w14:schemeClr w14:val="tx1"/>
            </w14:solidFill>
          </w14:textFill>
        </w:rPr>
        <w:t>的技术/</w:t>
      </w:r>
      <w:r>
        <w:rPr>
          <w:rFonts w:hint="eastAsia"/>
          <w:bCs/>
          <w:color w:val="000000" w:themeColor="text1"/>
          <w:szCs w:val="21"/>
          <w14:textFill>
            <w14:solidFill>
              <w14:schemeClr w14:val="tx1"/>
            </w14:solidFill>
          </w14:textFill>
        </w:rPr>
        <w:t>商务</w:t>
      </w:r>
      <w:r>
        <w:rPr>
          <w:bCs/>
          <w:color w:val="000000" w:themeColor="text1"/>
          <w:szCs w:val="21"/>
          <w14:textFill>
            <w14:solidFill>
              <w14:schemeClr w14:val="tx1"/>
            </w14:solidFill>
          </w14:textFill>
        </w:rPr>
        <w:t xml:space="preserve">要求内容逐条响应。无偏离描述内容的视为投标人完全接受招标要求。在偏离简述栏中必须标明技术及配置的实际响应情况 </w:t>
      </w:r>
    </w:p>
    <w:p>
      <w:pPr>
        <w:adjustRightInd w:val="0"/>
        <w:snapToGrid w:val="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①</w:t>
      </w:r>
      <w:r>
        <w:rPr>
          <w:bCs/>
          <w:color w:val="000000" w:themeColor="text1"/>
          <w:szCs w:val="21"/>
          <w14:textFill>
            <w14:solidFill>
              <w14:schemeClr w14:val="tx1"/>
            </w14:solidFill>
          </w14:textFill>
        </w:rPr>
        <w:t xml:space="preserve"> 投标响应的实际情况全部符合招标技术规格、要求的，偏离简述中才能填写“完全符合”； </w:t>
      </w:r>
    </w:p>
    <w:p>
      <w:pPr>
        <w:adjustRightInd w:val="0"/>
        <w:snapToGrid w:val="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②</w:t>
      </w:r>
      <w:r>
        <w:rPr>
          <w:bCs/>
          <w:color w:val="000000" w:themeColor="text1"/>
          <w:szCs w:val="21"/>
          <w14:textFill>
            <w14:solidFill>
              <w14:schemeClr w14:val="tx1"/>
            </w14:solidFill>
          </w14:textFill>
        </w:rPr>
        <w:t xml:space="preserve"> 投标响应的实际情况全部符合招标技术规格、要求的，并且其中有一个或以上指标优于招标文件要求的，偏离简述中可填写“正偏离”； </w:t>
      </w:r>
    </w:p>
    <w:p>
      <w:pPr>
        <w:adjustRightInd w:val="0"/>
        <w:snapToGrid w:val="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③</w:t>
      </w:r>
      <w:r>
        <w:rPr>
          <w:bCs/>
          <w:color w:val="000000" w:themeColor="text1"/>
          <w:szCs w:val="21"/>
          <w14:textFill>
            <w14:solidFill>
              <w14:schemeClr w14:val="tx1"/>
            </w14:solidFill>
          </w14:textFill>
        </w:rPr>
        <w:t xml:space="preserve"> 投标响应的实际情况有任何一项不能达到招标规格要求的，偏离简述中必须填写“负偏离”。</w:t>
      </w:r>
    </w:p>
    <w:p>
      <w:pPr>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br w:type="page"/>
      </w:r>
    </w:p>
    <w:bookmarkEnd w:id="223"/>
    <w:p>
      <w:pPr>
        <w:ind w:left="420" w:leftChars="200" w:firstLine="5565" w:firstLineChars="2650"/>
        <w:rPr>
          <w:bCs/>
          <w:color w:val="000000" w:themeColor="text1"/>
          <w:szCs w:val="21"/>
          <w14:textFill>
            <w14:solidFill>
              <w14:schemeClr w14:val="tx1"/>
            </w14:solidFill>
          </w14:textFill>
        </w:rPr>
      </w:pPr>
    </w:p>
    <w:p>
      <w:pPr>
        <w:ind w:left="420" w:leftChars="200"/>
        <w:jc w:val="center"/>
        <w:rPr>
          <w:b/>
          <w:bCs/>
          <w:color w:val="000000" w:themeColor="text1"/>
          <w:sz w:val="32"/>
          <w:szCs w:val="32"/>
          <w14:textFill>
            <w14:solidFill>
              <w14:schemeClr w14:val="tx1"/>
            </w14:solidFill>
          </w14:textFill>
        </w:rPr>
      </w:pPr>
      <w:r>
        <w:rPr>
          <w:b/>
          <w:bCs/>
          <w:color w:val="000000" w:themeColor="text1"/>
          <w:sz w:val="32"/>
          <w:szCs w:val="32"/>
          <w14:textFill>
            <w14:solidFill>
              <w14:schemeClr w14:val="tx1"/>
            </w14:solidFill>
          </w14:textFill>
        </w:rPr>
        <w:t>十三、诚信承诺函</w:t>
      </w:r>
    </w:p>
    <w:p>
      <w:pPr>
        <w:ind w:left="420" w:leftChars="200"/>
        <w:rPr>
          <w:color w:val="000000" w:themeColor="text1"/>
          <w:sz w:val="24"/>
          <w14:textFill>
            <w14:solidFill>
              <w14:schemeClr w14:val="tx1"/>
            </w14:solidFill>
          </w14:textFill>
        </w:rPr>
      </w:pPr>
    </w:p>
    <w:p>
      <w:pPr>
        <w:ind w:left="420" w:leftChars="200"/>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rFonts w:hint="eastAsia"/>
          <w:color w:val="000000" w:themeColor="text1"/>
          <w:kern w:val="0"/>
          <w:sz w:val="24"/>
          <w14:textFill>
            <w14:solidFill>
              <w14:schemeClr w14:val="tx1"/>
            </w14:solidFill>
          </w14:textFill>
        </w:rPr>
        <w:t>哈尔滨工业大学（深圳）</w:t>
      </w:r>
    </w:p>
    <w:p>
      <w:pPr>
        <w:ind w:left="420" w:leftChars="200"/>
        <w:rPr>
          <w:color w:val="000000" w:themeColor="text1"/>
          <w:sz w:val="24"/>
          <w14:textFill>
            <w14:solidFill>
              <w14:schemeClr w14:val="tx1"/>
            </w14:solidFill>
          </w14:textFill>
        </w:rPr>
      </w:pPr>
    </w:p>
    <w:p>
      <w:pPr>
        <w:ind w:left="420" w:leftChars="200" w:firstLine="540"/>
        <w:rPr>
          <w:color w:val="000000" w:themeColor="text1"/>
          <w:sz w:val="24"/>
          <w14:textFill>
            <w14:solidFill>
              <w14:schemeClr w14:val="tx1"/>
            </w14:solidFill>
          </w14:textFill>
        </w:rPr>
      </w:pPr>
      <w:r>
        <w:rPr>
          <w:color w:val="000000" w:themeColor="text1"/>
          <w:sz w:val="24"/>
          <w14:textFill>
            <w14:solidFill>
              <w14:schemeClr w14:val="tx1"/>
            </w14:solidFill>
          </w14:textFill>
        </w:rPr>
        <w:t>我公司承诺，在政府采购中无下列行为：</w:t>
      </w:r>
    </w:p>
    <w:p>
      <w:pPr>
        <w:ind w:left="420" w:leftChars="200" w:firstLine="540"/>
        <w:rPr>
          <w:color w:val="000000" w:themeColor="text1"/>
          <w:sz w:val="24"/>
          <w14:textFill>
            <w14:solidFill>
              <w14:schemeClr w14:val="tx1"/>
            </w14:solidFill>
          </w14:textFill>
        </w:rPr>
      </w:pPr>
      <w:r>
        <w:rPr>
          <w:color w:val="000000" w:themeColor="text1"/>
          <w:sz w:val="24"/>
          <w14:textFill>
            <w14:solidFill>
              <w14:schemeClr w14:val="tx1"/>
            </w14:solidFill>
          </w14:textFill>
        </w:rPr>
        <w:t>（一）被纪检监察部门立案调查，违法违规事实成立的；</w:t>
      </w:r>
    </w:p>
    <w:p>
      <w:pPr>
        <w:ind w:left="420" w:leftChars="200" w:firstLine="540"/>
        <w:rPr>
          <w:color w:val="000000" w:themeColor="text1"/>
          <w:sz w:val="24"/>
          <w14:textFill>
            <w14:solidFill>
              <w14:schemeClr w14:val="tx1"/>
            </w14:solidFill>
          </w14:textFill>
        </w:rPr>
      </w:pPr>
      <w:r>
        <w:rPr>
          <w:color w:val="000000" w:themeColor="text1"/>
          <w:sz w:val="24"/>
          <w14:textFill>
            <w14:solidFill>
              <w14:schemeClr w14:val="tx1"/>
            </w14:solidFill>
          </w14:textFill>
        </w:rPr>
        <w:t>（二）未按规定签订、履行采购合同，造成严重后果的；</w:t>
      </w:r>
    </w:p>
    <w:p>
      <w:pPr>
        <w:ind w:left="420" w:leftChars="200" w:firstLine="540"/>
        <w:rPr>
          <w:color w:val="000000" w:themeColor="text1"/>
          <w:sz w:val="24"/>
          <w14:textFill>
            <w14:solidFill>
              <w14:schemeClr w14:val="tx1"/>
            </w14:solidFill>
          </w14:textFill>
        </w:rPr>
      </w:pPr>
      <w:r>
        <w:rPr>
          <w:color w:val="000000" w:themeColor="text1"/>
          <w:sz w:val="24"/>
          <w14:textFill>
            <w14:solidFill>
              <w14:schemeClr w14:val="tx1"/>
            </w14:solidFill>
          </w14:textFill>
        </w:rPr>
        <w:t>（三）隐瞒真实情况，提供虚假资料的；</w:t>
      </w:r>
    </w:p>
    <w:p>
      <w:pPr>
        <w:ind w:left="420" w:leftChars="200" w:firstLine="540"/>
        <w:rPr>
          <w:color w:val="000000" w:themeColor="text1"/>
          <w:sz w:val="24"/>
          <w14:textFill>
            <w14:solidFill>
              <w14:schemeClr w14:val="tx1"/>
            </w14:solidFill>
          </w14:textFill>
        </w:rPr>
      </w:pPr>
      <w:r>
        <w:rPr>
          <w:color w:val="000000" w:themeColor="text1"/>
          <w:sz w:val="24"/>
          <w14:textFill>
            <w14:solidFill>
              <w14:schemeClr w14:val="tx1"/>
            </w14:solidFill>
          </w14:textFill>
        </w:rPr>
        <w:t>（四）以非法手段排斥其他供应商参与竞争的；</w:t>
      </w:r>
    </w:p>
    <w:p>
      <w:pPr>
        <w:ind w:left="420" w:leftChars="200" w:firstLine="540"/>
        <w:rPr>
          <w:color w:val="000000" w:themeColor="text1"/>
          <w:sz w:val="24"/>
          <w14:textFill>
            <w14:solidFill>
              <w14:schemeClr w14:val="tx1"/>
            </w14:solidFill>
          </w14:textFill>
        </w:rPr>
      </w:pPr>
      <w:r>
        <w:rPr>
          <w:color w:val="000000" w:themeColor="text1"/>
          <w:sz w:val="24"/>
          <w14:textFill>
            <w14:solidFill>
              <w14:schemeClr w14:val="tx1"/>
            </w14:solidFill>
          </w14:textFill>
        </w:rPr>
        <w:t>（五）与其他采购参加人串通投标的；</w:t>
      </w:r>
    </w:p>
    <w:p>
      <w:pPr>
        <w:ind w:left="420" w:leftChars="200" w:firstLine="540"/>
        <w:rPr>
          <w:color w:val="000000" w:themeColor="text1"/>
          <w:sz w:val="24"/>
          <w14:textFill>
            <w14:solidFill>
              <w14:schemeClr w14:val="tx1"/>
            </w14:solidFill>
          </w14:textFill>
        </w:rPr>
      </w:pPr>
      <w:r>
        <w:rPr>
          <w:color w:val="000000" w:themeColor="text1"/>
          <w:sz w:val="24"/>
          <w14:textFill>
            <w14:solidFill>
              <w14:schemeClr w14:val="tx1"/>
            </w14:solidFill>
          </w14:textFill>
        </w:rPr>
        <w:t>（六）在采购活动中应当回避而未回避的；</w:t>
      </w:r>
    </w:p>
    <w:p>
      <w:pPr>
        <w:ind w:left="420" w:leftChars="200" w:firstLine="540"/>
        <w:rPr>
          <w:color w:val="000000" w:themeColor="text1"/>
          <w:sz w:val="24"/>
          <w14:textFill>
            <w14:solidFill>
              <w14:schemeClr w14:val="tx1"/>
            </w14:solidFill>
          </w14:textFill>
        </w:rPr>
      </w:pPr>
      <w:r>
        <w:rPr>
          <w:color w:val="000000" w:themeColor="text1"/>
          <w:sz w:val="24"/>
          <w14:textFill>
            <w14:solidFill>
              <w14:schemeClr w14:val="tx1"/>
            </w14:solidFill>
          </w14:textFill>
        </w:rPr>
        <w:t>（七）恶意投诉的；</w:t>
      </w:r>
    </w:p>
    <w:p>
      <w:pPr>
        <w:ind w:left="420" w:leftChars="200" w:firstLine="540"/>
        <w:rPr>
          <w:color w:val="000000" w:themeColor="text1"/>
          <w:sz w:val="24"/>
          <w14:textFill>
            <w14:solidFill>
              <w14:schemeClr w14:val="tx1"/>
            </w14:solidFill>
          </w14:textFill>
        </w:rPr>
      </w:pPr>
      <w:r>
        <w:rPr>
          <w:color w:val="000000" w:themeColor="text1"/>
          <w:sz w:val="24"/>
          <w14:textFill>
            <w14:solidFill>
              <w14:schemeClr w14:val="tx1"/>
            </w14:solidFill>
          </w14:textFill>
        </w:rPr>
        <w:t>（八）向采购项目相关人行贿或者提供其他不当利益的；</w:t>
      </w:r>
    </w:p>
    <w:p>
      <w:pPr>
        <w:ind w:left="420" w:leftChars="200" w:firstLine="540"/>
        <w:rPr>
          <w:color w:val="000000" w:themeColor="text1"/>
          <w:sz w:val="24"/>
          <w14:textFill>
            <w14:solidFill>
              <w14:schemeClr w14:val="tx1"/>
            </w14:solidFill>
          </w14:textFill>
        </w:rPr>
      </w:pPr>
      <w:r>
        <w:rPr>
          <w:color w:val="000000" w:themeColor="text1"/>
          <w:sz w:val="24"/>
          <w14:textFill>
            <w14:solidFill>
              <w14:schemeClr w14:val="tx1"/>
            </w14:solidFill>
          </w14:textFill>
        </w:rPr>
        <w:t>（九）阻碍、抗拒主管部门监督检查的；</w:t>
      </w:r>
    </w:p>
    <w:p>
      <w:pPr>
        <w:ind w:left="420" w:leftChars="200" w:firstLine="540"/>
        <w:rPr>
          <w:color w:val="000000" w:themeColor="text1"/>
          <w:sz w:val="24"/>
          <w14:textFill>
            <w14:solidFill>
              <w14:schemeClr w14:val="tx1"/>
            </w14:solidFill>
          </w14:textFill>
        </w:rPr>
      </w:pPr>
      <w:r>
        <w:rPr>
          <w:color w:val="000000" w:themeColor="text1"/>
          <w:sz w:val="24"/>
          <w14:textFill>
            <w14:solidFill>
              <w14:schemeClr w14:val="tx1"/>
            </w14:solidFill>
          </w14:textFill>
        </w:rPr>
        <w:t>（十）履约检查不及格或评价为差的；</w:t>
      </w:r>
    </w:p>
    <w:p>
      <w:pPr>
        <w:ind w:left="420" w:leftChars="200" w:firstLine="540"/>
        <w:rPr>
          <w:color w:val="000000" w:themeColor="text1"/>
          <w:sz w:val="24"/>
          <w14:textFill>
            <w14:solidFill>
              <w14:schemeClr w14:val="tx1"/>
            </w14:solidFill>
          </w14:textFill>
        </w:rPr>
      </w:pPr>
      <w:r>
        <w:rPr>
          <w:color w:val="000000" w:themeColor="text1"/>
          <w:sz w:val="24"/>
          <w14:textFill>
            <w14:solidFill>
              <w14:schemeClr w14:val="tx1"/>
            </w14:solidFill>
          </w14:textFill>
        </w:rPr>
        <w:t>（十一）主管部门认为的其他情形。</w:t>
      </w:r>
    </w:p>
    <w:p>
      <w:pPr>
        <w:ind w:left="420" w:leftChars="200" w:firstLine="645"/>
        <w:rPr>
          <w:color w:val="000000" w:themeColor="text1"/>
          <w:sz w:val="24"/>
          <w14:textFill>
            <w14:solidFill>
              <w14:schemeClr w14:val="tx1"/>
            </w14:solidFill>
          </w14:textFill>
        </w:rPr>
      </w:pPr>
    </w:p>
    <w:p>
      <w:pPr>
        <w:ind w:left="420" w:leftChars="200" w:firstLine="645"/>
        <w:rPr>
          <w:color w:val="000000" w:themeColor="text1"/>
          <w:sz w:val="24"/>
          <w14:textFill>
            <w14:solidFill>
              <w14:schemeClr w14:val="tx1"/>
            </w14:solidFill>
          </w14:textFill>
        </w:rPr>
      </w:pPr>
    </w:p>
    <w:p>
      <w:pPr>
        <w:ind w:left="420" w:leftChars="200" w:firstLine="4960" w:firstLineChars="2067"/>
        <w:rPr>
          <w:color w:val="000000" w:themeColor="text1"/>
          <w:sz w:val="24"/>
          <w14:textFill>
            <w14:solidFill>
              <w14:schemeClr w14:val="tx1"/>
            </w14:solidFill>
          </w14:textFill>
        </w:rPr>
      </w:pPr>
      <w:r>
        <w:rPr>
          <w:color w:val="000000" w:themeColor="text1"/>
          <w:sz w:val="24"/>
          <w14:textFill>
            <w14:solidFill>
              <w14:schemeClr w14:val="tx1"/>
            </w14:solidFill>
          </w14:textFill>
        </w:rPr>
        <w:t>公司名称</w:t>
      </w:r>
      <w:r>
        <w:rPr>
          <w:color w:val="000000" w:themeColor="text1"/>
          <w14:textFill>
            <w14:solidFill>
              <w14:schemeClr w14:val="tx1"/>
            </w14:solidFill>
          </w14:textFill>
        </w:rPr>
        <w:t>（</w:t>
      </w:r>
      <w:r>
        <w:rPr>
          <w:b/>
          <w:color w:val="000000" w:themeColor="text1"/>
          <w14:textFill>
            <w14:solidFill>
              <w14:schemeClr w14:val="tx1"/>
            </w14:solidFill>
          </w14:textFill>
        </w:rPr>
        <w:t>加盖单位公章）</w:t>
      </w:r>
      <w:r>
        <w:rPr>
          <w:color w:val="000000" w:themeColor="text1"/>
          <w:sz w:val="24"/>
          <w14:textFill>
            <w14:solidFill>
              <w14:schemeClr w14:val="tx1"/>
            </w14:solidFill>
          </w14:textFill>
        </w:rPr>
        <w:t>：</w:t>
      </w:r>
    </w:p>
    <w:p>
      <w:pPr>
        <w:ind w:left="420" w:leftChars="200" w:firstLine="645"/>
        <w:rPr>
          <w:color w:val="000000" w:themeColor="text1"/>
          <w:sz w:val="24"/>
          <w14:textFill>
            <w14:solidFill>
              <w14:schemeClr w14:val="tx1"/>
            </w14:solidFill>
          </w14:textFill>
        </w:rPr>
      </w:pPr>
    </w:p>
    <w:p>
      <w:pPr>
        <w:ind w:left="420" w:leftChars="20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年</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月</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日</w:t>
      </w:r>
    </w:p>
    <w:sectPr>
      <w:footerReference r:id="rId5"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separate"/>
    </w:r>
    <w:r>
      <w:rPr>
        <w:rStyle w:val="28"/>
      </w:rPr>
      <w:t>29</w:t>
    </w:r>
    <w:r>
      <w:rPr>
        <w:rStyle w:val="28"/>
      </w:rPr>
      <w:fldChar w:fldCharType="end"/>
    </w:r>
  </w:p>
  <w:p>
    <w:pPr>
      <w:pStyle w:val="15"/>
    </w:pPr>
  </w:p>
  <w:p>
    <w:pPr>
      <w:pStyle w:val="15"/>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50165</wp:posOffset>
              </wp:positionV>
              <wp:extent cx="6092190" cy="0"/>
              <wp:effectExtent l="0" t="0" r="22860" b="19050"/>
              <wp:wrapNone/>
              <wp:docPr id="1" name="Line 4"/>
              <wp:cNvGraphicFramePr/>
              <a:graphic xmlns:a="http://schemas.openxmlformats.org/drawingml/2006/main">
                <a:graphicData uri="http://schemas.microsoft.com/office/word/2010/wordprocessingShape">
                  <wps:wsp>
                    <wps:cNvCnPr>
                      <a:cxnSpLocks noChangeShapeType="1"/>
                    </wps:cNvCnPr>
                    <wps:spPr bwMode="auto">
                      <a:xfrm>
                        <a:off x="0" y="0"/>
                        <a:ext cx="6092190" cy="0"/>
                      </a:xfrm>
                      <a:prstGeom prst="line">
                        <a:avLst/>
                      </a:prstGeom>
                      <a:noFill/>
                      <a:ln w="9525">
                        <a:solidFill>
                          <a:srgbClr val="000000"/>
                        </a:solidFill>
                        <a:round/>
                      </a:ln>
                    </wps:spPr>
                    <wps:bodyPr/>
                  </wps:wsp>
                </a:graphicData>
              </a:graphic>
            </wp:anchor>
          </w:drawing>
        </mc:Choice>
        <mc:Fallback>
          <w:pict>
            <v:line id="Line 4" o:spid="_x0000_s1026" o:spt="20" style="position:absolute;left:0pt;margin-left:0pt;margin-top:3.95pt;height:0pt;width:479.7pt;z-index:251659264;mso-width-relative:page;mso-height-relative:page;" filled="f" stroked="t" coordsize="21600,21600" o:gfxdata="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kgH+HSAAAABAEAAA8AAAAAAAAAAQAgAAAAIgAAAGRycy9kb3ducmV2&#10;LnhtbFBLAQIUABQAAAAIAIdO4kD+ldp6yQEAAJ8DAAAOAAAAAAAAAAEAIAAAACEBAABkcnMvZTJv&#10;RG9jLnhtbFBLBQYAAAAABgAGAFkBAABcBQAAAAA=&#10;">
              <v:fill on="f" focussize="0,0"/>
              <v:stroke color="#000000" joinstyle="round"/>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hideSpellingErrors/>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2ZWY2YjNkYmRjNDhiNTUwZmZlM2NiYzU1NzA2NTUifQ=="/>
  </w:docVars>
  <w:rsids>
    <w:rsidRoot w:val="00172A27"/>
    <w:rsid w:val="000005AC"/>
    <w:rsid w:val="0000136E"/>
    <w:rsid w:val="00002006"/>
    <w:rsid w:val="00002100"/>
    <w:rsid w:val="000036D6"/>
    <w:rsid w:val="00004887"/>
    <w:rsid w:val="00004906"/>
    <w:rsid w:val="00004BEA"/>
    <w:rsid w:val="00005C27"/>
    <w:rsid w:val="0000670A"/>
    <w:rsid w:val="00006E2A"/>
    <w:rsid w:val="00007073"/>
    <w:rsid w:val="0000722D"/>
    <w:rsid w:val="00010490"/>
    <w:rsid w:val="000104C9"/>
    <w:rsid w:val="00010B8D"/>
    <w:rsid w:val="00010DC3"/>
    <w:rsid w:val="00011A45"/>
    <w:rsid w:val="00011AE6"/>
    <w:rsid w:val="00012113"/>
    <w:rsid w:val="00012BC4"/>
    <w:rsid w:val="00012F81"/>
    <w:rsid w:val="000135B8"/>
    <w:rsid w:val="00014625"/>
    <w:rsid w:val="00014E82"/>
    <w:rsid w:val="00016458"/>
    <w:rsid w:val="0001645D"/>
    <w:rsid w:val="000165EF"/>
    <w:rsid w:val="000208F8"/>
    <w:rsid w:val="00021304"/>
    <w:rsid w:val="00021B2E"/>
    <w:rsid w:val="00022815"/>
    <w:rsid w:val="00022C27"/>
    <w:rsid w:val="00022F4F"/>
    <w:rsid w:val="00022FA9"/>
    <w:rsid w:val="000239C2"/>
    <w:rsid w:val="00024CE2"/>
    <w:rsid w:val="0002501A"/>
    <w:rsid w:val="000259A0"/>
    <w:rsid w:val="00025B21"/>
    <w:rsid w:val="00027106"/>
    <w:rsid w:val="00027415"/>
    <w:rsid w:val="000274F7"/>
    <w:rsid w:val="00030558"/>
    <w:rsid w:val="000307C5"/>
    <w:rsid w:val="00030D45"/>
    <w:rsid w:val="00030D77"/>
    <w:rsid w:val="00031887"/>
    <w:rsid w:val="000319D1"/>
    <w:rsid w:val="00034043"/>
    <w:rsid w:val="0003479B"/>
    <w:rsid w:val="0003524E"/>
    <w:rsid w:val="000367ED"/>
    <w:rsid w:val="000372E9"/>
    <w:rsid w:val="00037573"/>
    <w:rsid w:val="0003762A"/>
    <w:rsid w:val="0003795A"/>
    <w:rsid w:val="000403D0"/>
    <w:rsid w:val="00041F81"/>
    <w:rsid w:val="0004275D"/>
    <w:rsid w:val="00043D2B"/>
    <w:rsid w:val="000447F6"/>
    <w:rsid w:val="00045923"/>
    <w:rsid w:val="00045EB5"/>
    <w:rsid w:val="00046595"/>
    <w:rsid w:val="00047852"/>
    <w:rsid w:val="00050F73"/>
    <w:rsid w:val="00051378"/>
    <w:rsid w:val="00051C45"/>
    <w:rsid w:val="00053293"/>
    <w:rsid w:val="000545F7"/>
    <w:rsid w:val="0005526E"/>
    <w:rsid w:val="00055D4A"/>
    <w:rsid w:val="00056374"/>
    <w:rsid w:val="00056617"/>
    <w:rsid w:val="00056B16"/>
    <w:rsid w:val="00057655"/>
    <w:rsid w:val="00060526"/>
    <w:rsid w:val="00060C79"/>
    <w:rsid w:val="0006264D"/>
    <w:rsid w:val="0006301D"/>
    <w:rsid w:val="00064C51"/>
    <w:rsid w:val="00066813"/>
    <w:rsid w:val="00066A49"/>
    <w:rsid w:val="00066ACC"/>
    <w:rsid w:val="0006745C"/>
    <w:rsid w:val="00067A1B"/>
    <w:rsid w:val="00070384"/>
    <w:rsid w:val="000708DA"/>
    <w:rsid w:val="00071A23"/>
    <w:rsid w:val="0007211D"/>
    <w:rsid w:val="00072A0E"/>
    <w:rsid w:val="000730F3"/>
    <w:rsid w:val="00073B23"/>
    <w:rsid w:val="000744C1"/>
    <w:rsid w:val="00074554"/>
    <w:rsid w:val="00074BEF"/>
    <w:rsid w:val="00075151"/>
    <w:rsid w:val="00075AD5"/>
    <w:rsid w:val="00076F11"/>
    <w:rsid w:val="00080168"/>
    <w:rsid w:val="00080462"/>
    <w:rsid w:val="00080A90"/>
    <w:rsid w:val="000811F0"/>
    <w:rsid w:val="00081B06"/>
    <w:rsid w:val="000820E6"/>
    <w:rsid w:val="000824E9"/>
    <w:rsid w:val="000825F6"/>
    <w:rsid w:val="00082956"/>
    <w:rsid w:val="00082ABE"/>
    <w:rsid w:val="00083D3F"/>
    <w:rsid w:val="00083E84"/>
    <w:rsid w:val="00085134"/>
    <w:rsid w:val="00085317"/>
    <w:rsid w:val="00085419"/>
    <w:rsid w:val="000855C1"/>
    <w:rsid w:val="0008596C"/>
    <w:rsid w:val="00085F7A"/>
    <w:rsid w:val="00085FFE"/>
    <w:rsid w:val="000866A3"/>
    <w:rsid w:val="00086F62"/>
    <w:rsid w:val="0008752D"/>
    <w:rsid w:val="00090532"/>
    <w:rsid w:val="0009127F"/>
    <w:rsid w:val="0009133A"/>
    <w:rsid w:val="0009145A"/>
    <w:rsid w:val="00091526"/>
    <w:rsid w:val="00093217"/>
    <w:rsid w:val="0009359A"/>
    <w:rsid w:val="00095198"/>
    <w:rsid w:val="00095806"/>
    <w:rsid w:val="00095E8B"/>
    <w:rsid w:val="00095F61"/>
    <w:rsid w:val="00097AE9"/>
    <w:rsid w:val="00097B04"/>
    <w:rsid w:val="00097B0D"/>
    <w:rsid w:val="00097D02"/>
    <w:rsid w:val="000A0885"/>
    <w:rsid w:val="000A0ABE"/>
    <w:rsid w:val="000A26CE"/>
    <w:rsid w:val="000A2D79"/>
    <w:rsid w:val="000A2E48"/>
    <w:rsid w:val="000A3EF9"/>
    <w:rsid w:val="000A5211"/>
    <w:rsid w:val="000A584E"/>
    <w:rsid w:val="000A5A8E"/>
    <w:rsid w:val="000A5CD4"/>
    <w:rsid w:val="000A5D52"/>
    <w:rsid w:val="000A68CB"/>
    <w:rsid w:val="000B0205"/>
    <w:rsid w:val="000B0817"/>
    <w:rsid w:val="000B10D9"/>
    <w:rsid w:val="000B20FC"/>
    <w:rsid w:val="000B30EC"/>
    <w:rsid w:val="000B3C67"/>
    <w:rsid w:val="000B4228"/>
    <w:rsid w:val="000B4318"/>
    <w:rsid w:val="000B4F60"/>
    <w:rsid w:val="000B5120"/>
    <w:rsid w:val="000B5CC8"/>
    <w:rsid w:val="000B5DFC"/>
    <w:rsid w:val="000B6990"/>
    <w:rsid w:val="000B74CD"/>
    <w:rsid w:val="000C1B95"/>
    <w:rsid w:val="000C1BAA"/>
    <w:rsid w:val="000C1F3E"/>
    <w:rsid w:val="000C299D"/>
    <w:rsid w:val="000C2E3C"/>
    <w:rsid w:val="000C3B21"/>
    <w:rsid w:val="000C428C"/>
    <w:rsid w:val="000C43C4"/>
    <w:rsid w:val="000C4602"/>
    <w:rsid w:val="000C48DA"/>
    <w:rsid w:val="000C5BC7"/>
    <w:rsid w:val="000C7685"/>
    <w:rsid w:val="000C788A"/>
    <w:rsid w:val="000D0432"/>
    <w:rsid w:val="000D2CA8"/>
    <w:rsid w:val="000D3427"/>
    <w:rsid w:val="000D48D5"/>
    <w:rsid w:val="000D4AC7"/>
    <w:rsid w:val="000D53FD"/>
    <w:rsid w:val="000D5BA7"/>
    <w:rsid w:val="000D6088"/>
    <w:rsid w:val="000D6F21"/>
    <w:rsid w:val="000D74B4"/>
    <w:rsid w:val="000D7B13"/>
    <w:rsid w:val="000D7DC6"/>
    <w:rsid w:val="000E0BCF"/>
    <w:rsid w:val="000E18B0"/>
    <w:rsid w:val="000E1BD5"/>
    <w:rsid w:val="000E2823"/>
    <w:rsid w:val="000E3107"/>
    <w:rsid w:val="000E3219"/>
    <w:rsid w:val="000E3D76"/>
    <w:rsid w:val="000E3DAB"/>
    <w:rsid w:val="000E5729"/>
    <w:rsid w:val="000E6437"/>
    <w:rsid w:val="000E6FEC"/>
    <w:rsid w:val="000E7FD8"/>
    <w:rsid w:val="000F0D32"/>
    <w:rsid w:val="000F0D6F"/>
    <w:rsid w:val="000F1EDD"/>
    <w:rsid w:val="000F1FCD"/>
    <w:rsid w:val="000F2024"/>
    <w:rsid w:val="000F3C35"/>
    <w:rsid w:val="000F3F04"/>
    <w:rsid w:val="000F3FD3"/>
    <w:rsid w:val="000F4196"/>
    <w:rsid w:val="000F420E"/>
    <w:rsid w:val="000F42D1"/>
    <w:rsid w:val="000F454C"/>
    <w:rsid w:val="000F49E5"/>
    <w:rsid w:val="000F4EE2"/>
    <w:rsid w:val="000F527A"/>
    <w:rsid w:val="000F5C16"/>
    <w:rsid w:val="000F6269"/>
    <w:rsid w:val="000F7241"/>
    <w:rsid w:val="000F7836"/>
    <w:rsid w:val="000F7F62"/>
    <w:rsid w:val="000F7FB8"/>
    <w:rsid w:val="001001FD"/>
    <w:rsid w:val="001014D9"/>
    <w:rsid w:val="00101DFC"/>
    <w:rsid w:val="00102A12"/>
    <w:rsid w:val="00102CC6"/>
    <w:rsid w:val="001038CA"/>
    <w:rsid w:val="00104758"/>
    <w:rsid w:val="001048BE"/>
    <w:rsid w:val="001062C0"/>
    <w:rsid w:val="0010678B"/>
    <w:rsid w:val="001072EB"/>
    <w:rsid w:val="00107AEE"/>
    <w:rsid w:val="0011014B"/>
    <w:rsid w:val="00111274"/>
    <w:rsid w:val="001117B9"/>
    <w:rsid w:val="00111CE3"/>
    <w:rsid w:val="00111E16"/>
    <w:rsid w:val="001134EF"/>
    <w:rsid w:val="001151A9"/>
    <w:rsid w:val="0011675A"/>
    <w:rsid w:val="001176D3"/>
    <w:rsid w:val="0012030F"/>
    <w:rsid w:val="001207F4"/>
    <w:rsid w:val="0012092A"/>
    <w:rsid w:val="00120AB4"/>
    <w:rsid w:val="00120BE1"/>
    <w:rsid w:val="00121B83"/>
    <w:rsid w:val="00121C20"/>
    <w:rsid w:val="001235F9"/>
    <w:rsid w:val="00123EA6"/>
    <w:rsid w:val="0012537B"/>
    <w:rsid w:val="00125467"/>
    <w:rsid w:val="0012714F"/>
    <w:rsid w:val="00127915"/>
    <w:rsid w:val="00130123"/>
    <w:rsid w:val="00130801"/>
    <w:rsid w:val="00130A8C"/>
    <w:rsid w:val="001310AA"/>
    <w:rsid w:val="00131673"/>
    <w:rsid w:val="00132670"/>
    <w:rsid w:val="001328E9"/>
    <w:rsid w:val="00132CC4"/>
    <w:rsid w:val="00134AFB"/>
    <w:rsid w:val="001351E0"/>
    <w:rsid w:val="0013635B"/>
    <w:rsid w:val="00136615"/>
    <w:rsid w:val="00136BA5"/>
    <w:rsid w:val="0013783D"/>
    <w:rsid w:val="00137B1E"/>
    <w:rsid w:val="001403D0"/>
    <w:rsid w:val="00141F32"/>
    <w:rsid w:val="00143392"/>
    <w:rsid w:val="001438E5"/>
    <w:rsid w:val="00143AB1"/>
    <w:rsid w:val="00143D73"/>
    <w:rsid w:val="00146E88"/>
    <w:rsid w:val="0014730C"/>
    <w:rsid w:val="00147B19"/>
    <w:rsid w:val="00147DC1"/>
    <w:rsid w:val="00150618"/>
    <w:rsid w:val="00150E64"/>
    <w:rsid w:val="00151731"/>
    <w:rsid w:val="00151766"/>
    <w:rsid w:val="001526F9"/>
    <w:rsid w:val="00152FED"/>
    <w:rsid w:val="00153918"/>
    <w:rsid w:val="001547E1"/>
    <w:rsid w:val="00154F74"/>
    <w:rsid w:val="0015531A"/>
    <w:rsid w:val="00155E83"/>
    <w:rsid w:val="0015663C"/>
    <w:rsid w:val="001568E6"/>
    <w:rsid w:val="00156A84"/>
    <w:rsid w:val="001571E8"/>
    <w:rsid w:val="00157252"/>
    <w:rsid w:val="001579FA"/>
    <w:rsid w:val="00160375"/>
    <w:rsid w:val="001607B5"/>
    <w:rsid w:val="00161522"/>
    <w:rsid w:val="001617AE"/>
    <w:rsid w:val="00161CFD"/>
    <w:rsid w:val="0016263C"/>
    <w:rsid w:val="00162AE8"/>
    <w:rsid w:val="00162C56"/>
    <w:rsid w:val="00162DB2"/>
    <w:rsid w:val="001633A1"/>
    <w:rsid w:val="00163466"/>
    <w:rsid w:val="00163943"/>
    <w:rsid w:val="00164242"/>
    <w:rsid w:val="00164924"/>
    <w:rsid w:val="00164C76"/>
    <w:rsid w:val="00165109"/>
    <w:rsid w:val="001657B1"/>
    <w:rsid w:val="00166C05"/>
    <w:rsid w:val="00167845"/>
    <w:rsid w:val="00167927"/>
    <w:rsid w:val="00170C17"/>
    <w:rsid w:val="0017173E"/>
    <w:rsid w:val="00171CA3"/>
    <w:rsid w:val="00172A27"/>
    <w:rsid w:val="00173149"/>
    <w:rsid w:val="00173759"/>
    <w:rsid w:val="00174E1A"/>
    <w:rsid w:val="001754BA"/>
    <w:rsid w:val="00176B0D"/>
    <w:rsid w:val="00176E8D"/>
    <w:rsid w:val="00177549"/>
    <w:rsid w:val="001778AC"/>
    <w:rsid w:val="001778BE"/>
    <w:rsid w:val="00180D1B"/>
    <w:rsid w:val="00180F0D"/>
    <w:rsid w:val="00181FEA"/>
    <w:rsid w:val="00182706"/>
    <w:rsid w:val="0018284B"/>
    <w:rsid w:val="00182BCC"/>
    <w:rsid w:val="00183CCE"/>
    <w:rsid w:val="001845E9"/>
    <w:rsid w:val="001864FF"/>
    <w:rsid w:val="00190166"/>
    <w:rsid w:val="0019057A"/>
    <w:rsid w:val="0019162C"/>
    <w:rsid w:val="001919EB"/>
    <w:rsid w:val="00191B20"/>
    <w:rsid w:val="00191B94"/>
    <w:rsid w:val="00191FB0"/>
    <w:rsid w:val="0019227B"/>
    <w:rsid w:val="00192D08"/>
    <w:rsid w:val="00193C39"/>
    <w:rsid w:val="00193E93"/>
    <w:rsid w:val="00194A4F"/>
    <w:rsid w:val="00195B8B"/>
    <w:rsid w:val="00195DCB"/>
    <w:rsid w:val="00195F14"/>
    <w:rsid w:val="001961A2"/>
    <w:rsid w:val="001963E7"/>
    <w:rsid w:val="00196787"/>
    <w:rsid w:val="00196B4C"/>
    <w:rsid w:val="001970AD"/>
    <w:rsid w:val="00197204"/>
    <w:rsid w:val="00197691"/>
    <w:rsid w:val="001A0DEF"/>
    <w:rsid w:val="001A173C"/>
    <w:rsid w:val="001A1844"/>
    <w:rsid w:val="001A20CA"/>
    <w:rsid w:val="001A2608"/>
    <w:rsid w:val="001A3B13"/>
    <w:rsid w:val="001A3CF6"/>
    <w:rsid w:val="001A3EE7"/>
    <w:rsid w:val="001A47F2"/>
    <w:rsid w:val="001A6C49"/>
    <w:rsid w:val="001A7E96"/>
    <w:rsid w:val="001B0220"/>
    <w:rsid w:val="001B0CD0"/>
    <w:rsid w:val="001B21B1"/>
    <w:rsid w:val="001B2A31"/>
    <w:rsid w:val="001B2D49"/>
    <w:rsid w:val="001B3D5C"/>
    <w:rsid w:val="001B5B42"/>
    <w:rsid w:val="001B601F"/>
    <w:rsid w:val="001B6DDB"/>
    <w:rsid w:val="001B6E8C"/>
    <w:rsid w:val="001B7078"/>
    <w:rsid w:val="001B7491"/>
    <w:rsid w:val="001B7EBE"/>
    <w:rsid w:val="001C06C0"/>
    <w:rsid w:val="001C10E5"/>
    <w:rsid w:val="001C1A12"/>
    <w:rsid w:val="001C1F6C"/>
    <w:rsid w:val="001C30D1"/>
    <w:rsid w:val="001C35B7"/>
    <w:rsid w:val="001C39FB"/>
    <w:rsid w:val="001C3AE0"/>
    <w:rsid w:val="001C3BC2"/>
    <w:rsid w:val="001C3C26"/>
    <w:rsid w:val="001C463F"/>
    <w:rsid w:val="001C47FC"/>
    <w:rsid w:val="001C585B"/>
    <w:rsid w:val="001C6DC5"/>
    <w:rsid w:val="001D0702"/>
    <w:rsid w:val="001D0A25"/>
    <w:rsid w:val="001D296C"/>
    <w:rsid w:val="001D2F3D"/>
    <w:rsid w:val="001D33C3"/>
    <w:rsid w:val="001D351A"/>
    <w:rsid w:val="001D3D8E"/>
    <w:rsid w:val="001D3DED"/>
    <w:rsid w:val="001D3DF8"/>
    <w:rsid w:val="001D4E6F"/>
    <w:rsid w:val="001D5573"/>
    <w:rsid w:val="001D6356"/>
    <w:rsid w:val="001D6EC3"/>
    <w:rsid w:val="001D710C"/>
    <w:rsid w:val="001D741D"/>
    <w:rsid w:val="001E0248"/>
    <w:rsid w:val="001E07B1"/>
    <w:rsid w:val="001E11B1"/>
    <w:rsid w:val="001E1E26"/>
    <w:rsid w:val="001E208F"/>
    <w:rsid w:val="001E233C"/>
    <w:rsid w:val="001E2771"/>
    <w:rsid w:val="001E2DDE"/>
    <w:rsid w:val="001E309F"/>
    <w:rsid w:val="001E630A"/>
    <w:rsid w:val="001E7109"/>
    <w:rsid w:val="001E7838"/>
    <w:rsid w:val="001F14B5"/>
    <w:rsid w:val="001F268F"/>
    <w:rsid w:val="001F37E0"/>
    <w:rsid w:val="001F37F9"/>
    <w:rsid w:val="001F3E49"/>
    <w:rsid w:val="001F401A"/>
    <w:rsid w:val="001F4A76"/>
    <w:rsid w:val="001F4EF8"/>
    <w:rsid w:val="001F4F4A"/>
    <w:rsid w:val="001F5989"/>
    <w:rsid w:val="002035A2"/>
    <w:rsid w:val="00203887"/>
    <w:rsid w:val="002043E3"/>
    <w:rsid w:val="002046D6"/>
    <w:rsid w:val="00205C71"/>
    <w:rsid w:val="00205F7B"/>
    <w:rsid w:val="0020717B"/>
    <w:rsid w:val="002078C2"/>
    <w:rsid w:val="00210400"/>
    <w:rsid w:val="00210436"/>
    <w:rsid w:val="0021043B"/>
    <w:rsid w:val="00210E7E"/>
    <w:rsid w:val="00211084"/>
    <w:rsid w:val="00211254"/>
    <w:rsid w:val="002122AD"/>
    <w:rsid w:val="002139CD"/>
    <w:rsid w:val="00213E88"/>
    <w:rsid w:val="00214C22"/>
    <w:rsid w:val="00216600"/>
    <w:rsid w:val="0021742B"/>
    <w:rsid w:val="0021781A"/>
    <w:rsid w:val="002201AC"/>
    <w:rsid w:val="0022067E"/>
    <w:rsid w:val="00221029"/>
    <w:rsid w:val="002216BD"/>
    <w:rsid w:val="00221A81"/>
    <w:rsid w:val="00221FE8"/>
    <w:rsid w:val="00222F08"/>
    <w:rsid w:val="002235B3"/>
    <w:rsid w:val="002237FD"/>
    <w:rsid w:val="0022442C"/>
    <w:rsid w:val="00224A1D"/>
    <w:rsid w:val="00225340"/>
    <w:rsid w:val="00225978"/>
    <w:rsid w:val="002269FF"/>
    <w:rsid w:val="002274F2"/>
    <w:rsid w:val="00227BE4"/>
    <w:rsid w:val="0023051D"/>
    <w:rsid w:val="00230EA4"/>
    <w:rsid w:val="0023193A"/>
    <w:rsid w:val="00232A7A"/>
    <w:rsid w:val="00232DA4"/>
    <w:rsid w:val="0023353D"/>
    <w:rsid w:val="00233A9F"/>
    <w:rsid w:val="00233EA8"/>
    <w:rsid w:val="00233EE9"/>
    <w:rsid w:val="002341C3"/>
    <w:rsid w:val="00235CCD"/>
    <w:rsid w:val="0023602F"/>
    <w:rsid w:val="002362ED"/>
    <w:rsid w:val="00237036"/>
    <w:rsid w:val="002372AC"/>
    <w:rsid w:val="00237A33"/>
    <w:rsid w:val="00237DD6"/>
    <w:rsid w:val="00240B0F"/>
    <w:rsid w:val="00240E54"/>
    <w:rsid w:val="0024167D"/>
    <w:rsid w:val="00241BD9"/>
    <w:rsid w:val="00241F4C"/>
    <w:rsid w:val="00242B67"/>
    <w:rsid w:val="00242EA8"/>
    <w:rsid w:val="002442A5"/>
    <w:rsid w:val="00244AF3"/>
    <w:rsid w:val="00244EFB"/>
    <w:rsid w:val="002451ED"/>
    <w:rsid w:val="002458E4"/>
    <w:rsid w:val="00246EB4"/>
    <w:rsid w:val="002474EC"/>
    <w:rsid w:val="00247A55"/>
    <w:rsid w:val="002506EE"/>
    <w:rsid w:val="00250D33"/>
    <w:rsid w:val="002517DF"/>
    <w:rsid w:val="002518E6"/>
    <w:rsid w:val="00251AE6"/>
    <w:rsid w:val="00252D49"/>
    <w:rsid w:val="00253C51"/>
    <w:rsid w:val="00253C7F"/>
    <w:rsid w:val="002548D3"/>
    <w:rsid w:val="00254D20"/>
    <w:rsid w:val="00255367"/>
    <w:rsid w:val="0025568B"/>
    <w:rsid w:val="002561B7"/>
    <w:rsid w:val="00257131"/>
    <w:rsid w:val="0025733E"/>
    <w:rsid w:val="00257F6B"/>
    <w:rsid w:val="00260B13"/>
    <w:rsid w:val="00261445"/>
    <w:rsid w:val="00261C50"/>
    <w:rsid w:val="00261E06"/>
    <w:rsid w:val="0026284D"/>
    <w:rsid w:val="00263090"/>
    <w:rsid w:val="00264D98"/>
    <w:rsid w:val="00265054"/>
    <w:rsid w:val="0026523F"/>
    <w:rsid w:val="00265751"/>
    <w:rsid w:val="0026773F"/>
    <w:rsid w:val="0026780F"/>
    <w:rsid w:val="00267935"/>
    <w:rsid w:val="00270B8F"/>
    <w:rsid w:val="002710F3"/>
    <w:rsid w:val="00271B39"/>
    <w:rsid w:val="0027313B"/>
    <w:rsid w:val="00273952"/>
    <w:rsid w:val="00273CF6"/>
    <w:rsid w:val="00274F13"/>
    <w:rsid w:val="00275046"/>
    <w:rsid w:val="00275567"/>
    <w:rsid w:val="00275645"/>
    <w:rsid w:val="0027596A"/>
    <w:rsid w:val="00275B39"/>
    <w:rsid w:val="00275D52"/>
    <w:rsid w:val="00276B40"/>
    <w:rsid w:val="00276BC6"/>
    <w:rsid w:val="00276E58"/>
    <w:rsid w:val="0027723E"/>
    <w:rsid w:val="002772D9"/>
    <w:rsid w:val="0027745D"/>
    <w:rsid w:val="0028028C"/>
    <w:rsid w:val="00280915"/>
    <w:rsid w:val="00281C1E"/>
    <w:rsid w:val="00281DA0"/>
    <w:rsid w:val="00282C89"/>
    <w:rsid w:val="00282D45"/>
    <w:rsid w:val="00283253"/>
    <w:rsid w:val="0028414C"/>
    <w:rsid w:val="00284E2F"/>
    <w:rsid w:val="00284F80"/>
    <w:rsid w:val="00286810"/>
    <w:rsid w:val="00287102"/>
    <w:rsid w:val="00293DA4"/>
    <w:rsid w:val="002965D8"/>
    <w:rsid w:val="00296E86"/>
    <w:rsid w:val="002978BC"/>
    <w:rsid w:val="00297F1B"/>
    <w:rsid w:val="002A0381"/>
    <w:rsid w:val="002A0425"/>
    <w:rsid w:val="002A0651"/>
    <w:rsid w:val="002A06BD"/>
    <w:rsid w:val="002A11FB"/>
    <w:rsid w:val="002A120C"/>
    <w:rsid w:val="002A1996"/>
    <w:rsid w:val="002A1F00"/>
    <w:rsid w:val="002A2185"/>
    <w:rsid w:val="002A21D9"/>
    <w:rsid w:val="002A2FF3"/>
    <w:rsid w:val="002A334F"/>
    <w:rsid w:val="002A3ADE"/>
    <w:rsid w:val="002A3AF8"/>
    <w:rsid w:val="002A52CC"/>
    <w:rsid w:val="002A55AD"/>
    <w:rsid w:val="002A58FF"/>
    <w:rsid w:val="002A5C2D"/>
    <w:rsid w:val="002A5FBD"/>
    <w:rsid w:val="002A6C04"/>
    <w:rsid w:val="002A6E4D"/>
    <w:rsid w:val="002A7153"/>
    <w:rsid w:val="002A728A"/>
    <w:rsid w:val="002A73C5"/>
    <w:rsid w:val="002A7CAC"/>
    <w:rsid w:val="002A7D4F"/>
    <w:rsid w:val="002B011D"/>
    <w:rsid w:val="002B021E"/>
    <w:rsid w:val="002B0A9F"/>
    <w:rsid w:val="002B0D74"/>
    <w:rsid w:val="002B2E09"/>
    <w:rsid w:val="002B3C7C"/>
    <w:rsid w:val="002B53C3"/>
    <w:rsid w:val="002B6528"/>
    <w:rsid w:val="002B6DB3"/>
    <w:rsid w:val="002C08AB"/>
    <w:rsid w:val="002C0962"/>
    <w:rsid w:val="002C183E"/>
    <w:rsid w:val="002C1AA0"/>
    <w:rsid w:val="002C24DC"/>
    <w:rsid w:val="002C3057"/>
    <w:rsid w:val="002C44A2"/>
    <w:rsid w:val="002C467A"/>
    <w:rsid w:val="002C4B6D"/>
    <w:rsid w:val="002C526F"/>
    <w:rsid w:val="002C5F66"/>
    <w:rsid w:val="002C75D5"/>
    <w:rsid w:val="002D0253"/>
    <w:rsid w:val="002D13DF"/>
    <w:rsid w:val="002D2672"/>
    <w:rsid w:val="002D3B6B"/>
    <w:rsid w:val="002D41A4"/>
    <w:rsid w:val="002D603D"/>
    <w:rsid w:val="002D637A"/>
    <w:rsid w:val="002D6AA2"/>
    <w:rsid w:val="002D6C62"/>
    <w:rsid w:val="002D7500"/>
    <w:rsid w:val="002D78A2"/>
    <w:rsid w:val="002E00AD"/>
    <w:rsid w:val="002E02EB"/>
    <w:rsid w:val="002E0461"/>
    <w:rsid w:val="002E075F"/>
    <w:rsid w:val="002E08C1"/>
    <w:rsid w:val="002E0B56"/>
    <w:rsid w:val="002E0B5D"/>
    <w:rsid w:val="002E0C7F"/>
    <w:rsid w:val="002E1650"/>
    <w:rsid w:val="002E214F"/>
    <w:rsid w:val="002E31F9"/>
    <w:rsid w:val="002E3425"/>
    <w:rsid w:val="002E3469"/>
    <w:rsid w:val="002E35AF"/>
    <w:rsid w:val="002E3C98"/>
    <w:rsid w:val="002E6A58"/>
    <w:rsid w:val="002E7881"/>
    <w:rsid w:val="002F01F2"/>
    <w:rsid w:val="002F10DF"/>
    <w:rsid w:val="002F11D5"/>
    <w:rsid w:val="002F3765"/>
    <w:rsid w:val="002F4F44"/>
    <w:rsid w:val="002F50DA"/>
    <w:rsid w:val="002F5168"/>
    <w:rsid w:val="002F584B"/>
    <w:rsid w:val="002F5DEF"/>
    <w:rsid w:val="002F5FC3"/>
    <w:rsid w:val="002F6EF2"/>
    <w:rsid w:val="002F7174"/>
    <w:rsid w:val="002F71A4"/>
    <w:rsid w:val="002F71A9"/>
    <w:rsid w:val="002F7D39"/>
    <w:rsid w:val="002F7E8D"/>
    <w:rsid w:val="00300935"/>
    <w:rsid w:val="00300C2A"/>
    <w:rsid w:val="003011CC"/>
    <w:rsid w:val="003015A2"/>
    <w:rsid w:val="003022E5"/>
    <w:rsid w:val="003033D9"/>
    <w:rsid w:val="003037F8"/>
    <w:rsid w:val="00303F98"/>
    <w:rsid w:val="0030424E"/>
    <w:rsid w:val="00304338"/>
    <w:rsid w:val="003044F5"/>
    <w:rsid w:val="00304A39"/>
    <w:rsid w:val="003051C9"/>
    <w:rsid w:val="00305D1D"/>
    <w:rsid w:val="0030700E"/>
    <w:rsid w:val="00307766"/>
    <w:rsid w:val="0030779C"/>
    <w:rsid w:val="00307A2D"/>
    <w:rsid w:val="00310487"/>
    <w:rsid w:val="00310D4B"/>
    <w:rsid w:val="00311557"/>
    <w:rsid w:val="003119CD"/>
    <w:rsid w:val="00311FD7"/>
    <w:rsid w:val="003132C3"/>
    <w:rsid w:val="00314779"/>
    <w:rsid w:val="00314A25"/>
    <w:rsid w:val="00315243"/>
    <w:rsid w:val="003156C1"/>
    <w:rsid w:val="003158CA"/>
    <w:rsid w:val="00317240"/>
    <w:rsid w:val="0031737C"/>
    <w:rsid w:val="003201A8"/>
    <w:rsid w:val="003203BF"/>
    <w:rsid w:val="00321260"/>
    <w:rsid w:val="003214D6"/>
    <w:rsid w:val="0032244E"/>
    <w:rsid w:val="003235B3"/>
    <w:rsid w:val="003242E5"/>
    <w:rsid w:val="00324DD8"/>
    <w:rsid w:val="003256E0"/>
    <w:rsid w:val="00326AD8"/>
    <w:rsid w:val="00327114"/>
    <w:rsid w:val="00327B3E"/>
    <w:rsid w:val="00327D7F"/>
    <w:rsid w:val="00327EA3"/>
    <w:rsid w:val="003323A2"/>
    <w:rsid w:val="0033293D"/>
    <w:rsid w:val="0033321A"/>
    <w:rsid w:val="00333676"/>
    <w:rsid w:val="00333A02"/>
    <w:rsid w:val="00333E4C"/>
    <w:rsid w:val="00334224"/>
    <w:rsid w:val="0033425B"/>
    <w:rsid w:val="00334568"/>
    <w:rsid w:val="00334680"/>
    <w:rsid w:val="003350A3"/>
    <w:rsid w:val="0033586C"/>
    <w:rsid w:val="00336339"/>
    <w:rsid w:val="00340445"/>
    <w:rsid w:val="003431F0"/>
    <w:rsid w:val="003440A7"/>
    <w:rsid w:val="00344388"/>
    <w:rsid w:val="00344AF1"/>
    <w:rsid w:val="00344E89"/>
    <w:rsid w:val="00345AD6"/>
    <w:rsid w:val="00345E2A"/>
    <w:rsid w:val="00346772"/>
    <w:rsid w:val="00346E05"/>
    <w:rsid w:val="0034724E"/>
    <w:rsid w:val="0035140C"/>
    <w:rsid w:val="00352BC1"/>
    <w:rsid w:val="00352F1B"/>
    <w:rsid w:val="003546B3"/>
    <w:rsid w:val="00354FA4"/>
    <w:rsid w:val="00355439"/>
    <w:rsid w:val="00355855"/>
    <w:rsid w:val="00355CE5"/>
    <w:rsid w:val="003561C0"/>
    <w:rsid w:val="003571E8"/>
    <w:rsid w:val="003602AF"/>
    <w:rsid w:val="00360F8C"/>
    <w:rsid w:val="003619E8"/>
    <w:rsid w:val="003625DC"/>
    <w:rsid w:val="00363B3E"/>
    <w:rsid w:val="003646C5"/>
    <w:rsid w:val="0036577A"/>
    <w:rsid w:val="00366BCE"/>
    <w:rsid w:val="00366FA8"/>
    <w:rsid w:val="003703D0"/>
    <w:rsid w:val="003709F9"/>
    <w:rsid w:val="0037107C"/>
    <w:rsid w:val="00371362"/>
    <w:rsid w:val="00372522"/>
    <w:rsid w:val="0037252A"/>
    <w:rsid w:val="003728C9"/>
    <w:rsid w:val="0037369F"/>
    <w:rsid w:val="00373923"/>
    <w:rsid w:val="003744B5"/>
    <w:rsid w:val="003756AA"/>
    <w:rsid w:val="003762A6"/>
    <w:rsid w:val="00376309"/>
    <w:rsid w:val="003773D2"/>
    <w:rsid w:val="00377B2A"/>
    <w:rsid w:val="003801E8"/>
    <w:rsid w:val="00380FFD"/>
    <w:rsid w:val="00381308"/>
    <w:rsid w:val="003814E4"/>
    <w:rsid w:val="00381578"/>
    <w:rsid w:val="00381C63"/>
    <w:rsid w:val="003824ED"/>
    <w:rsid w:val="00382561"/>
    <w:rsid w:val="00382B9E"/>
    <w:rsid w:val="00382C17"/>
    <w:rsid w:val="0038318E"/>
    <w:rsid w:val="003843EC"/>
    <w:rsid w:val="003847A5"/>
    <w:rsid w:val="00386DF3"/>
    <w:rsid w:val="00387F66"/>
    <w:rsid w:val="003909DB"/>
    <w:rsid w:val="00390BA0"/>
    <w:rsid w:val="00393028"/>
    <w:rsid w:val="0039313E"/>
    <w:rsid w:val="003932CC"/>
    <w:rsid w:val="0039399A"/>
    <w:rsid w:val="00394690"/>
    <w:rsid w:val="00394848"/>
    <w:rsid w:val="00394D1B"/>
    <w:rsid w:val="00395AE1"/>
    <w:rsid w:val="003960EC"/>
    <w:rsid w:val="0039611D"/>
    <w:rsid w:val="0039729C"/>
    <w:rsid w:val="00397BFA"/>
    <w:rsid w:val="003A0BE4"/>
    <w:rsid w:val="003A1771"/>
    <w:rsid w:val="003A1D06"/>
    <w:rsid w:val="003A1FFD"/>
    <w:rsid w:val="003A268D"/>
    <w:rsid w:val="003A2908"/>
    <w:rsid w:val="003A2DDD"/>
    <w:rsid w:val="003A407A"/>
    <w:rsid w:val="003A44F3"/>
    <w:rsid w:val="003A5139"/>
    <w:rsid w:val="003A52FC"/>
    <w:rsid w:val="003A5697"/>
    <w:rsid w:val="003A574F"/>
    <w:rsid w:val="003A58D0"/>
    <w:rsid w:val="003A5CA1"/>
    <w:rsid w:val="003A6FDB"/>
    <w:rsid w:val="003B01FA"/>
    <w:rsid w:val="003B0A1B"/>
    <w:rsid w:val="003B0D25"/>
    <w:rsid w:val="003B1B85"/>
    <w:rsid w:val="003B2926"/>
    <w:rsid w:val="003B3713"/>
    <w:rsid w:val="003B3783"/>
    <w:rsid w:val="003B39B0"/>
    <w:rsid w:val="003B3AA5"/>
    <w:rsid w:val="003B3DE3"/>
    <w:rsid w:val="003B3FA6"/>
    <w:rsid w:val="003B4096"/>
    <w:rsid w:val="003B466A"/>
    <w:rsid w:val="003B4982"/>
    <w:rsid w:val="003B4B46"/>
    <w:rsid w:val="003B5499"/>
    <w:rsid w:val="003B583A"/>
    <w:rsid w:val="003B65AB"/>
    <w:rsid w:val="003B66E9"/>
    <w:rsid w:val="003B68E0"/>
    <w:rsid w:val="003B6CFD"/>
    <w:rsid w:val="003B7092"/>
    <w:rsid w:val="003B789C"/>
    <w:rsid w:val="003C02EE"/>
    <w:rsid w:val="003C0FBF"/>
    <w:rsid w:val="003C1B80"/>
    <w:rsid w:val="003C1F0B"/>
    <w:rsid w:val="003C2E11"/>
    <w:rsid w:val="003C3323"/>
    <w:rsid w:val="003C3359"/>
    <w:rsid w:val="003C44A5"/>
    <w:rsid w:val="003C488F"/>
    <w:rsid w:val="003C4DA4"/>
    <w:rsid w:val="003C4FB5"/>
    <w:rsid w:val="003C5286"/>
    <w:rsid w:val="003C54B4"/>
    <w:rsid w:val="003C63D8"/>
    <w:rsid w:val="003C7436"/>
    <w:rsid w:val="003C7EBA"/>
    <w:rsid w:val="003D0DB9"/>
    <w:rsid w:val="003D16D0"/>
    <w:rsid w:val="003D2268"/>
    <w:rsid w:val="003D27B5"/>
    <w:rsid w:val="003D2DD9"/>
    <w:rsid w:val="003D3FDB"/>
    <w:rsid w:val="003D4592"/>
    <w:rsid w:val="003D53DC"/>
    <w:rsid w:val="003D589A"/>
    <w:rsid w:val="003D6DF6"/>
    <w:rsid w:val="003D6E2F"/>
    <w:rsid w:val="003D79CA"/>
    <w:rsid w:val="003D7BA8"/>
    <w:rsid w:val="003E0E08"/>
    <w:rsid w:val="003E1AE0"/>
    <w:rsid w:val="003E2286"/>
    <w:rsid w:val="003E27AC"/>
    <w:rsid w:val="003E3074"/>
    <w:rsid w:val="003E3167"/>
    <w:rsid w:val="003E354E"/>
    <w:rsid w:val="003E394B"/>
    <w:rsid w:val="003E400C"/>
    <w:rsid w:val="003E4428"/>
    <w:rsid w:val="003E4571"/>
    <w:rsid w:val="003E45C2"/>
    <w:rsid w:val="003E5B65"/>
    <w:rsid w:val="003E5FE7"/>
    <w:rsid w:val="003E6641"/>
    <w:rsid w:val="003E69D8"/>
    <w:rsid w:val="003E6B1E"/>
    <w:rsid w:val="003E6C45"/>
    <w:rsid w:val="003E6EAB"/>
    <w:rsid w:val="003E714C"/>
    <w:rsid w:val="003E7E77"/>
    <w:rsid w:val="003F1F28"/>
    <w:rsid w:val="003F2057"/>
    <w:rsid w:val="003F3ED0"/>
    <w:rsid w:val="003F447B"/>
    <w:rsid w:val="003F50A1"/>
    <w:rsid w:val="003F5132"/>
    <w:rsid w:val="003F65B3"/>
    <w:rsid w:val="003F66CB"/>
    <w:rsid w:val="003F6B1B"/>
    <w:rsid w:val="003F6B28"/>
    <w:rsid w:val="003F6BA8"/>
    <w:rsid w:val="00400133"/>
    <w:rsid w:val="004009A7"/>
    <w:rsid w:val="00400A0B"/>
    <w:rsid w:val="004025F3"/>
    <w:rsid w:val="00402AB6"/>
    <w:rsid w:val="004030DE"/>
    <w:rsid w:val="004035B9"/>
    <w:rsid w:val="00403D47"/>
    <w:rsid w:val="00404F25"/>
    <w:rsid w:val="00405A2A"/>
    <w:rsid w:val="00405AF2"/>
    <w:rsid w:val="00405C91"/>
    <w:rsid w:val="00405E73"/>
    <w:rsid w:val="004061A4"/>
    <w:rsid w:val="0040632D"/>
    <w:rsid w:val="004077F2"/>
    <w:rsid w:val="00407BC7"/>
    <w:rsid w:val="0041016A"/>
    <w:rsid w:val="00410BE7"/>
    <w:rsid w:val="00410D31"/>
    <w:rsid w:val="004112F6"/>
    <w:rsid w:val="00411782"/>
    <w:rsid w:val="004129C0"/>
    <w:rsid w:val="00414417"/>
    <w:rsid w:val="00415B9C"/>
    <w:rsid w:val="00415DC9"/>
    <w:rsid w:val="004165C8"/>
    <w:rsid w:val="004168DB"/>
    <w:rsid w:val="00416A9F"/>
    <w:rsid w:val="00417D63"/>
    <w:rsid w:val="00417F6A"/>
    <w:rsid w:val="0042083E"/>
    <w:rsid w:val="00421FC0"/>
    <w:rsid w:val="00422B01"/>
    <w:rsid w:val="00423668"/>
    <w:rsid w:val="00424697"/>
    <w:rsid w:val="004278F7"/>
    <w:rsid w:val="00427BF1"/>
    <w:rsid w:val="004304D3"/>
    <w:rsid w:val="00430E30"/>
    <w:rsid w:val="00431A72"/>
    <w:rsid w:val="00432D25"/>
    <w:rsid w:val="004333D2"/>
    <w:rsid w:val="004342A5"/>
    <w:rsid w:val="00435BFC"/>
    <w:rsid w:val="0043621F"/>
    <w:rsid w:val="00436AF4"/>
    <w:rsid w:val="00436D58"/>
    <w:rsid w:val="00440258"/>
    <w:rsid w:val="004406D0"/>
    <w:rsid w:val="00441873"/>
    <w:rsid w:val="00442241"/>
    <w:rsid w:val="00442C65"/>
    <w:rsid w:val="00442D09"/>
    <w:rsid w:val="004434AB"/>
    <w:rsid w:val="0044493B"/>
    <w:rsid w:val="00444C0A"/>
    <w:rsid w:val="00444CD2"/>
    <w:rsid w:val="0044696A"/>
    <w:rsid w:val="00447018"/>
    <w:rsid w:val="004478F9"/>
    <w:rsid w:val="004503FD"/>
    <w:rsid w:val="00450BA1"/>
    <w:rsid w:val="00450E38"/>
    <w:rsid w:val="0045114C"/>
    <w:rsid w:val="00451AE9"/>
    <w:rsid w:val="00451DFC"/>
    <w:rsid w:val="0045274D"/>
    <w:rsid w:val="00452E26"/>
    <w:rsid w:val="00453895"/>
    <w:rsid w:val="00454022"/>
    <w:rsid w:val="004548D4"/>
    <w:rsid w:val="00454B0F"/>
    <w:rsid w:val="004553EB"/>
    <w:rsid w:val="00455D28"/>
    <w:rsid w:val="00455E64"/>
    <w:rsid w:val="00455F96"/>
    <w:rsid w:val="004562F1"/>
    <w:rsid w:val="0045708B"/>
    <w:rsid w:val="004602C0"/>
    <w:rsid w:val="00461561"/>
    <w:rsid w:val="004619CC"/>
    <w:rsid w:val="00461E36"/>
    <w:rsid w:val="0046392A"/>
    <w:rsid w:val="004646DA"/>
    <w:rsid w:val="00464A3F"/>
    <w:rsid w:val="00464F18"/>
    <w:rsid w:val="004652F8"/>
    <w:rsid w:val="004656F5"/>
    <w:rsid w:val="00465CA9"/>
    <w:rsid w:val="00465DED"/>
    <w:rsid w:val="00466586"/>
    <w:rsid w:val="00467388"/>
    <w:rsid w:val="00467C50"/>
    <w:rsid w:val="00470367"/>
    <w:rsid w:val="004705C5"/>
    <w:rsid w:val="00470934"/>
    <w:rsid w:val="00471A60"/>
    <w:rsid w:val="00471CC8"/>
    <w:rsid w:val="0047365F"/>
    <w:rsid w:val="00473A14"/>
    <w:rsid w:val="00474A63"/>
    <w:rsid w:val="004759C7"/>
    <w:rsid w:val="00475D1D"/>
    <w:rsid w:val="004769D9"/>
    <w:rsid w:val="004776B9"/>
    <w:rsid w:val="004813C6"/>
    <w:rsid w:val="004826CA"/>
    <w:rsid w:val="0048270D"/>
    <w:rsid w:val="004828D0"/>
    <w:rsid w:val="00482DF6"/>
    <w:rsid w:val="00483C5F"/>
    <w:rsid w:val="00483DBF"/>
    <w:rsid w:val="00485872"/>
    <w:rsid w:val="00486B4A"/>
    <w:rsid w:val="00486C08"/>
    <w:rsid w:val="00486D7E"/>
    <w:rsid w:val="00487C54"/>
    <w:rsid w:val="00487CC7"/>
    <w:rsid w:val="0049059F"/>
    <w:rsid w:val="00490D19"/>
    <w:rsid w:val="00491651"/>
    <w:rsid w:val="0049261D"/>
    <w:rsid w:val="004928C1"/>
    <w:rsid w:val="004932D3"/>
    <w:rsid w:val="004936D5"/>
    <w:rsid w:val="00493EFE"/>
    <w:rsid w:val="004940C3"/>
    <w:rsid w:val="004945B1"/>
    <w:rsid w:val="00494C12"/>
    <w:rsid w:val="00494EEC"/>
    <w:rsid w:val="0049523D"/>
    <w:rsid w:val="00495625"/>
    <w:rsid w:val="00496451"/>
    <w:rsid w:val="00496C58"/>
    <w:rsid w:val="004977A8"/>
    <w:rsid w:val="00497B52"/>
    <w:rsid w:val="00497E2B"/>
    <w:rsid w:val="004A0BD7"/>
    <w:rsid w:val="004A0F14"/>
    <w:rsid w:val="004A117B"/>
    <w:rsid w:val="004A12C5"/>
    <w:rsid w:val="004A1D55"/>
    <w:rsid w:val="004A1F3D"/>
    <w:rsid w:val="004A2635"/>
    <w:rsid w:val="004A2B58"/>
    <w:rsid w:val="004A2E82"/>
    <w:rsid w:val="004A3080"/>
    <w:rsid w:val="004A3A37"/>
    <w:rsid w:val="004A45D6"/>
    <w:rsid w:val="004A4E10"/>
    <w:rsid w:val="004A59A4"/>
    <w:rsid w:val="004A59E9"/>
    <w:rsid w:val="004A73C9"/>
    <w:rsid w:val="004A7475"/>
    <w:rsid w:val="004A7D13"/>
    <w:rsid w:val="004A7F95"/>
    <w:rsid w:val="004B1333"/>
    <w:rsid w:val="004B35DD"/>
    <w:rsid w:val="004B5539"/>
    <w:rsid w:val="004B5E63"/>
    <w:rsid w:val="004B6252"/>
    <w:rsid w:val="004B6A14"/>
    <w:rsid w:val="004B6C1B"/>
    <w:rsid w:val="004B6D5F"/>
    <w:rsid w:val="004B7046"/>
    <w:rsid w:val="004C1447"/>
    <w:rsid w:val="004C262D"/>
    <w:rsid w:val="004C307C"/>
    <w:rsid w:val="004C349D"/>
    <w:rsid w:val="004C5201"/>
    <w:rsid w:val="004C57D7"/>
    <w:rsid w:val="004C6F5B"/>
    <w:rsid w:val="004C7023"/>
    <w:rsid w:val="004C7132"/>
    <w:rsid w:val="004C725E"/>
    <w:rsid w:val="004C753A"/>
    <w:rsid w:val="004C7725"/>
    <w:rsid w:val="004C77BC"/>
    <w:rsid w:val="004D0729"/>
    <w:rsid w:val="004D10AE"/>
    <w:rsid w:val="004D241E"/>
    <w:rsid w:val="004D3172"/>
    <w:rsid w:val="004D4715"/>
    <w:rsid w:val="004D591C"/>
    <w:rsid w:val="004D5B92"/>
    <w:rsid w:val="004D5ED0"/>
    <w:rsid w:val="004D6A22"/>
    <w:rsid w:val="004D6A3B"/>
    <w:rsid w:val="004D7070"/>
    <w:rsid w:val="004D7151"/>
    <w:rsid w:val="004E019A"/>
    <w:rsid w:val="004E05BE"/>
    <w:rsid w:val="004E0A50"/>
    <w:rsid w:val="004E0BF6"/>
    <w:rsid w:val="004E0D9C"/>
    <w:rsid w:val="004E10C4"/>
    <w:rsid w:val="004E1424"/>
    <w:rsid w:val="004E1BC0"/>
    <w:rsid w:val="004E246B"/>
    <w:rsid w:val="004E345A"/>
    <w:rsid w:val="004E3ACB"/>
    <w:rsid w:val="004E4394"/>
    <w:rsid w:val="004E4E52"/>
    <w:rsid w:val="004E59C7"/>
    <w:rsid w:val="004E5B44"/>
    <w:rsid w:val="004E6BED"/>
    <w:rsid w:val="004E737E"/>
    <w:rsid w:val="004F0094"/>
    <w:rsid w:val="004F0352"/>
    <w:rsid w:val="004F065D"/>
    <w:rsid w:val="004F091C"/>
    <w:rsid w:val="004F0924"/>
    <w:rsid w:val="004F1113"/>
    <w:rsid w:val="004F1DD7"/>
    <w:rsid w:val="004F266B"/>
    <w:rsid w:val="004F2CF9"/>
    <w:rsid w:val="004F2DD6"/>
    <w:rsid w:val="004F3163"/>
    <w:rsid w:val="004F3560"/>
    <w:rsid w:val="004F3585"/>
    <w:rsid w:val="004F3E76"/>
    <w:rsid w:val="004F644E"/>
    <w:rsid w:val="004F797F"/>
    <w:rsid w:val="0050030A"/>
    <w:rsid w:val="00500875"/>
    <w:rsid w:val="00500F87"/>
    <w:rsid w:val="0050193A"/>
    <w:rsid w:val="00501E03"/>
    <w:rsid w:val="00501E5A"/>
    <w:rsid w:val="0050276C"/>
    <w:rsid w:val="0050367F"/>
    <w:rsid w:val="00504068"/>
    <w:rsid w:val="00504889"/>
    <w:rsid w:val="00504F17"/>
    <w:rsid w:val="00505297"/>
    <w:rsid w:val="00506274"/>
    <w:rsid w:val="005063B3"/>
    <w:rsid w:val="00507045"/>
    <w:rsid w:val="0050758B"/>
    <w:rsid w:val="00507643"/>
    <w:rsid w:val="00507C7E"/>
    <w:rsid w:val="00507FA4"/>
    <w:rsid w:val="00510424"/>
    <w:rsid w:val="00510D49"/>
    <w:rsid w:val="0051142C"/>
    <w:rsid w:val="005124DD"/>
    <w:rsid w:val="00512B7A"/>
    <w:rsid w:val="00512CCA"/>
    <w:rsid w:val="005134DC"/>
    <w:rsid w:val="0051352C"/>
    <w:rsid w:val="0051378A"/>
    <w:rsid w:val="00513896"/>
    <w:rsid w:val="005142E9"/>
    <w:rsid w:val="00514D18"/>
    <w:rsid w:val="00514E08"/>
    <w:rsid w:val="00515F9B"/>
    <w:rsid w:val="00516294"/>
    <w:rsid w:val="00516640"/>
    <w:rsid w:val="00516E96"/>
    <w:rsid w:val="00517097"/>
    <w:rsid w:val="00517171"/>
    <w:rsid w:val="00517439"/>
    <w:rsid w:val="005174ED"/>
    <w:rsid w:val="005202AA"/>
    <w:rsid w:val="00520A35"/>
    <w:rsid w:val="005213D9"/>
    <w:rsid w:val="00521AA0"/>
    <w:rsid w:val="00521B62"/>
    <w:rsid w:val="00523173"/>
    <w:rsid w:val="00523BBD"/>
    <w:rsid w:val="00525027"/>
    <w:rsid w:val="0052639E"/>
    <w:rsid w:val="005266E1"/>
    <w:rsid w:val="00527307"/>
    <w:rsid w:val="00527340"/>
    <w:rsid w:val="00527369"/>
    <w:rsid w:val="00527637"/>
    <w:rsid w:val="00527E4A"/>
    <w:rsid w:val="0053015A"/>
    <w:rsid w:val="00530202"/>
    <w:rsid w:val="00530617"/>
    <w:rsid w:val="00530EA1"/>
    <w:rsid w:val="005316D3"/>
    <w:rsid w:val="00531C5E"/>
    <w:rsid w:val="00532A52"/>
    <w:rsid w:val="0053475F"/>
    <w:rsid w:val="00535772"/>
    <w:rsid w:val="005360B6"/>
    <w:rsid w:val="005368E8"/>
    <w:rsid w:val="00536AB7"/>
    <w:rsid w:val="00536CFE"/>
    <w:rsid w:val="00540796"/>
    <w:rsid w:val="005408EA"/>
    <w:rsid w:val="005409BB"/>
    <w:rsid w:val="005418F9"/>
    <w:rsid w:val="00541F2C"/>
    <w:rsid w:val="005420E7"/>
    <w:rsid w:val="00542384"/>
    <w:rsid w:val="005425ED"/>
    <w:rsid w:val="005426BA"/>
    <w:rsid w:val="0054330F"/>
    <w:rsid w:val="0054350F"/>
    <w:rsid w:val="00543610"/>
    <w:rsid w:val="00543AB5"/>
    <w:rsid w:val="00544198"/>
    <w:rsid w:val="0054465D"/>
    <w:rsid w:val="005448D4"/>
    <w:rsid w:val="0054554B"/>
    <w:rsid w:val="005459D3"/>
    <w:rsid w:val="00545D4C"/>
    <w:rsid w:val="00545FC1"/>
    <w:rsid w:val="00546C0C"/>
    <w:rsid w:val="00547260"/>
    <w:rsid w:val="005474AE"/>
    <w:rsid w:val="00547A02"/>
    <w:rsid w:val="00547A8E"/>
    <w:rsid w:val="00550163"/>
    <w:rsid w:val="00550FF4"/>
    <w:rsid w:val="00551972"/>
    <w:rsid w:val="00551A35"/>
    <w:rsid w:val="005524D8"/>
    <w:rsid w:val="00552828"/>
    <w:rsid w:val="005536E3"/>
    <w:rsid w:val="00554A8A"/>
    <w:rsid w:val="005560B9"/>
    <w:rsid w:val="00557BE8"/>
    <w:rsid w:val="005601DE"/>
    <w:rsid w:val="0056021D"/>
    <w:rsid w:val="00560452"/>
    <w:rsid w:val="00560637"/>
    <w:rsid w:val="0056097F"/>
    <w:rsid w:val="00560A96"/>
    <w:rsid w:val="00560E39"/>
    <w:rsid w:val="005622D6"/>
    <w:rsid w:val="00562551"/>
    <w:rsid w:val="00563583"/>
    <w:rsid w:val="005635DB"/>
    <w:rsid w:val="00563722"/>
    <w:rsid w:val="0056395D"/>
    <w:rsid w:val="00563E50"/>
    <w:rsid w:val="00563F28"/>
    <w:rsid w:val="00565126"/>
    <w:rsid w:val="00567D3E"/>
    <w:rsid w:val="005709EF"/>
    <w:rsid w:val="0057109F"/>
    <w:rsid w:val="005722CB"/>
    <w:rsid w:val="00572A16"/>
    <w:rsid w:val="00573836"/>
    <w:rsid w:val="00574200"/>
    <w:rsid w:val="00574776"/>
    <w:rsid w:val="00574B44"/>
    <w:rsid w:val="00575CB0"/>
    <w:rsid w:val="00575FD0"/>
    <w:rsid w:val="005766D7"/>
    <w:rsid w:val="00576ED0"/>
    <w:rsid w:val="0058136F"/>
    <w:rsid w:val="00581F5A"/>
    <w:rsid w:val="00581FE8"/>
    <w:rsid w:val="00582975"/>
    <w:rsid w:val="00582EF6"/>
    <w:rsid w:val="00583464"/>
    <w:rsid w:val="00583A9B"/>
    <w:rsid w:val="005856FF"/>
    <w:rsid w:val="00585D80"/>
    <w:rsid w:val="00587847"/>
    <w:rsid w:val="00587868"/>
    <w:rsid w:val="00587E0C"/>
    <w:rsid w:val="00591025"/>
    <w:rsid w:val="00591555"/>
    <w:rsid w:val="00592E85"/>
    <w:rsid w:val="00593557"/>
    <w:rsid w:val="005935DB"/>
    <w:rsid w:val="0059361C"/>
    <w:rsid w:val="005937BB"/>
    <w:rsid w:val="0059385F"/>
    <w:rsid w:val="00593BA2"/>
    <w:rsid w:val="00594D80"/>
    <w:rsid w:val="005955D4"/>
    <w:rsid w:val="00595A8D"/>
    <w:rsid w:val="005A02B7"/>
    <w:rsid w:val="005A07C9"/>
    <w:rsid w:val="005A0B0E"/>
    <w:rsid w:val="005A0EA9"/>
    <w:rsid w:val="005A10EF"/>
    <w:rsid w:val="005A12C1"/>
    <w:rsid w:val="005A1307"/>
    <w:rsid w:val="005A1548"/>
    <w:rsid w:val="005A2EE9"/>
    <w:rsid w:val="005A45C2"/>
    <w:rsid w:val="005A4642"/>
    <w:rsid w:val="005A4B6B"/>
    <w:rsid w:val="005A5E6D"/>
    <w:rsid w:val="005A606C"/>
    <w:rsid w:val="005A66D1"/>
    <w:rsid w:val="005A6A3B"/>
    <w:rsid w:val="005A708D"/>
    <w:rsid w:val="005A7559"/>
    <w:rsid w:val="005A7587"/>
    <w:rsid w:val="005B057E"/>
    <w:rsid w:val="005B1ADB"/>
    <w:rsid w:val="005B22C3"/>
    <w:rsid w:val="005B342A"/>
    <w:rsid w:val="005B37AA"/>
    <w:rsid w:val="005B4B65"/>
    <w:rsid w:val="005B645D"/>
    <w:rsid w:val="005B663F"/>
    <w:rsid w:val="005B6A51"/>
    <w:rsid w:val="005B6B95"/>
    <w:rsid w:val="005B707A"/>
    <w:rsid w:val="005B7160"/>
    <w:rsid w:val="005B73A6"/>
    <w:rsid w:val="005C0674"/>
    <w:rsid w:val="005C068E"/>
    <w:rsid w:val="005C33DE"/>
    <w:rsid w:val="005C3571"/>
    <w:rsid w:val="005C3DAD"/>
    <w:rsid w:val="005C5927"/>
    <w:rsid w:val="005C5F97"/>
    <w:rsid w:val="005C7CC9"/>
    <w:rsid w:val="005D0019"/>
    <w:rsid w:val="005D0338"/>
    <w:rsid w:val="005D1F87"/>
    <w:rsid w:val="005D247E"/>
    <w:rsid w:val="005D2797"/>
    <w:rsid w:val="005D2AD9"/>
    <w:rsid w:val="005D3FAE"/>
    <w:rsid w:val="005D687E"/>
    <w:rsid w:val="005D7283"/>
    <w:rsid w:val="005D75A8"/>
    <w:rsid w:val="005D7A38"/>
    <w:rsid w:val="005D7E10"/>
    <w:rsid w:val="005D7F63"/>
    <w:rsid w:val="005D7FD7"/>
    <w:rsid w:val="005E01D6"/>
    <w:rsid w:val="005E0FBF"/>
    <w:rsid w:val="005E1A94"/>
    <w:rsid w:val="005E1E5E"/>
    <w:rsid w:val="005E223F"/>
    <w:rsid w:val="005E2578"/>
    <w:rsid w:val="005E3644"/>
    <w:rsid w:val="005E43D7"/>
    <w:rsid w:val="005E43D9"/>
    <w:rsid w:val="005E5423"/>
    <w:rsid w:val="005E5E26"/>
    <w:rsid w:val="005E5F05"/>
    <w:rsid w:val="005E66F9"/>
    <w:rsid w:val="005E6788"/>
    <w:rsid w:val="005E73AF"/>
    <w:rsid w:val="005E78D5"/>
    <w:rsid w:val="005E7FAB"/>
    <w:rsid w:val="005F003C"/>
    <w:rsid w:val="005F038C"/>
    <w:rsid w:val="005F0DF2"/>
    <w:rsid w:val="005F1684"/>
    <w:rsid w:val="005F19F3"/>
    <w:rsid w:val="005F1D49"/>
    <w:rsid w:val="005F6633"/>
    <w:rsid w:val="005F685D"/>
    <w:rsid w:val="005F690A"/>
    <w:rsid w:val="005F7277"/>
    <w:rsid w:val="005F7C32"/>
    <w:rsid w:val="006000BA"/>
    <w:rsid w:val="00601018"/>
    <w:rsid w:val="00601DCC"/>
    <w:rsid w:val="00602C08"/>
    <w:rsid w:val="0060324A"/>
    <w:rsid w:val="00603B00"/>
    <w:rsid w:val="00604586"/>
    <w:rsid w:val="00604A3E"/>
    <w:rsid w:val="00604E98"/>
    <w:rsid w:val="00607D49"/>
    <w:rsid w:val="00607E9C"/>
    <w:rsid w:val="00610A0E"/>
    <w:rsid w:val="00611806"/>
    <w:rsid w:val="006128E7"/>
    <w:rsid w:val="00613446"/>
    <w:rsid w:val="00615A8F"/>
    <w:rsid w:val="00616417"/>
    <w:rsid w:val="0061657A"/>
    <w:rsid w:val="00617620"/>
    <w:rsid w:val="006177C3"/>
    <w:rsid w:val="006203C2"/>
    <w:rsid w:val="0062090B"/>
    <w:rsid w:val="0062159C"/>
    <w:rsid w:val="00622077"/>
    <w:rsid w:val="00622A15"/>
    <w:rsid w:val="00622A7B"/>
    <w:rsid w:val="006233E4"/>
    <w:rsid w:val="00623D4B"/>
    <w:rsid w:val="00624521"/>
    <w:rsid w:val="00624C5D"/>
    <w:rsid w:val="00625599"/>
    <w:rsid w:val="00626246"/>
    <w:rsid w:val="00627B99"/>
    <w:rsid w:val="00627E79"/>
    <w:rsid w:val="00630492"/>
    <w:rsid w:val="0063088E"/>
    <w:rsid w:val="00631EC7"/>
    <w:rsid w:val="00631F08"/>
    <w:rsid w:val="00633529"/>
    <w:rsid w:val="006335B0"/>
    <w:rsid w:val="00633D19"/>
    <w:rsid w:val="00634056"/>
    <w:rsid w:val="00634F90"/>
    <w:rsid w:val="006363FA"/>
    <w:rsid w:val="0063654F"/>
    <w:rsid w:val="00636744"/>
    <w:rsid w:val="00636979"/>
    <w:rsid w:val="006372D5"/>
    <w:rsid w:val="00637418"/>
    <w:rsid w:val="00637EA1"/>
    <w:rsid w:val="00640237"/>
    <w:rsid w:val="006415DC"/>
    <w:rsid w:val="00641AB6"/>
    <w:rsid w:val="00641D3B"/>
    <w:rsid w:val="00642173"/>
    <w:rsid w:val="00642997"/>
    <w:rsid w:val="0064373A"/>
    <w:rsid w:val="00643F7D"/>
    <w:rsid w:val="0064446B"/>
    <w:rsid w:val="00644AE8"/>
    <w:rsid w:val="00644FD6"/>
    <w:rsid w:val="0064650B"/>
    <w:rsid w:val="00646CFE"/>
    <w:rsid w:val="00646FF5"/>
    <w:rsid w:val="0065022E"/>
    <w:rsid w:val="0065047A"/>
    <w:rsid w:val="006510E7"/>
    <w:rsid w:val="006528D5"/>
    <w:rsid w:val="00652FBC"/>
    <w:rsid w:val="006545FA"/>
    <w:rsid w:val="006556B0"/>
    <w:rsid w:val="0065588A"/>
    <w:rsid w:val="00655983"/>
    <w:rsid w:val="006571CF"/>
    <w:rsid w:val="00657A63"/>
    <w:rsid w:val="006604CA"/>
    <w:rsid w:val="00660F72"/>
    <w:rsid w:val="006612B7"/>
    <w:rsid w:val="00661497"/>
    <w:rsid w:val="00661503"/>
    <w:rsid w:val="006616B8"/>
    <w:rsid w:val="00661EB0"/>
    <w:rsid w:val="0066235E"/>
    <w:rsid w:val="00662523"/>
    <w:rsid w:val="006627DB"/>
    <w:rsid w:val="00663E53"/>
    <w:rsid w:val="0066407C"/>
    <w:rsid w:val="006656D9"/>
    <w:rsid w:val="00665EE6"/>
    <w:rsid w:val="00666308"/>
    <w:rsid w:val="00666C4C"/>
    <w:rsid w:val="006671FD"/>
    <w:rsid w:val="00667518"/>
    <w:rsid w:val="00670D33"/>
    <w:rsid w:val="00670F5E"/>
    <w:rsid w:val="00671695"/>
    <w:rsid w:val="006725F0"/>
    <w:rsid w:val="00672A00"/>
    <w:rsid w:val="00674BD1"/>
    <w:rsid w:val="00674DCE"/>
    <w:rsid w:val="00674F00"/>
    <w:rsid w:val="00675348"/>
    <w:rsid w:val="00675AA6"/>
    <w:rsid w:val="00676955"/>
    <w:rsid w:val="00677048"/>
    <w:rsid w:val="00677419"/>
    <w:rsid w:val="006800BB"/>
    <w:rsid w:val="0068046C"/>
    <w:rsid w:val="0068138D"/>
    <w:rsid w:val="00681E95"/>
    <w:rsid w:val="00682363"/>
    <w:rsid w:val="006827E7"/>
    <w:rsid w:val="006828B7"/>
    <w:rsid w:val="00683085"/>
    <w:rsid w:val="00683424"/>
    <w:rsid w:val="00683ACE"/>
    <w:rsid w:val="00683E1A"/>
    <w:rsid w:val="0068574F"/>
    <w:rsid w:val="00686222"/>
    <w:rsid w:val="00686C68"/>
    <w:rsid w:val="00686F62"/>
    <w:rsid w:val="00687043"/>
    <w:rsid w:val="00690CBA"/>
    <w:rsid w:val="0069241A"/>
    <w:rsid w:val="00692B9A"/>
    <w:rsid w:val="006930ED"/>
    <w:rsid w:val="0069314A"/>
    <w:rsid w:val="006931B8"/>
    <w:rsid w:val="0069325C"/>
    <w:rsid w:val="006935B9"/>
    <w:rsid w:val="006938DD"/>
    <w:rsid w:val="00695224"/>
    <w:rsid w:val="006955FE"/>
    <w:rsid w:val="00695AF5"/>
    <w:rsid w:val="00696667"/>
    <w:rsid w:val="00696CE9"/>
    <w:rsid w:val="00696EA4"/>
    <w:rsid w:val="00697614"/>
    <w:rsid w:val="006A0811"/>
    <w:rsid w:val="006A0902"/>
    <w:rsid w:val="006A104A"/>
    <w:rsid w:val="006A1532"/>
    <w:rsid w:val="006A1BD9"/>
    <w:rsid w:val="006A1C53"/>
    <w:rsid w:val="006A1D13"/>
    <w:rsid w:val="006A20E5"/>
    <w:rsid w:val="006A231D"/>
    <w:rsid w:val="006A256B"/>
    <w:rsid w:val="006A2F27"/>
    <w:rsid w:val="006A333F"/>
    <w:rsid w:val="006A4A68"/>
    <w:rsid w:val="006A5013"/>
    <w:rsid w:val="006A5734"/>
    <w:rsid w:val="006A6598"/>
    <w:rsid w:val="006B035B"/>
    <w:rsid w:val="006B09B1"/>
    <w:rsid w:val="006B1298"/>
    <w:rsid w:val="006B1CFA"/>
    <w:rsid w:val="006B260C"/>
    <w:rsid w:val="006B2E18"/>
    <w:rsid w:val="006B328E"/>
    <w:rsid w:val="006B367C"/>
    <w:rsid w:val="006B3D4C"/>
    <w:rsid w:val="006B445B"/>
    <w:rsid w:val="006B457B"/>
    <w:rsid w:val="006B541F"/>
    <w:rsid w:val="006B66F8"/>
    <w:rsid w:val="006B6C8C"/>
    <w:rsid w:val="006B6CDF"/>
    <w:rsid w:val="006B77FE"/>
    <w:rsid w:val="006B7A32"/>
    <w:rsid w:val="006C0088"/>
    <w:rsid w:val="006C0913"/>
    <w:rsid w:val="006C2109"/>
    <w:rsid w:val="006C2237"/>
    <w:rsid w:val="006C2263"/>
    <w:rsid w:val="006C3C53"/>
    <w:rsid w:val="006C3CBA"/>
    <w:rsid w:val="006C3E96"/>
    <w:rsid w:val="006C4AC7"/>
    <w:rsid w:val="006C4CDC"/>
    <w:rsid w:val="006C5F50"/>
    <w:rsid w:val="006C7110"/>
    <w:rsid w:val="006D0435"/>
    <w:rsid w:val="006D05D8"/>
    <w:rsid w:val="006D0BDD"/>
    <w:rsid w:val="006D0CDA"/>
    <w:rsid w:val="006D1772"/>
    <w:rsid w:val="006D1EEC"/>
    <w:rsid w:val="006D1FEE"/>
    <w:rsid w:val="006D2762"/>
    <w:rsid w:val="006D281A"/>
    <w:rsid w:val="006D32D2"/>
    <w:rsid w:val="006D3DD7"/>
    <w:rsid w:val="006D41C9"/>
    <w:rsid w:val="006D5920"/>
    <w:rsid w:val="006D59CA"/>
    <w:rsid w:val="006D66BC"/>
    <w:rsid w:val="006D76B7"/>
    <w:rsid w:val="006D7DAF"/>
    <w:rsid w:val="006D7DC5"/>
    <w:rsid w:val="006E0848"/>
    <w:rsid w:val="006E1622"/>
    <w:rsid w:val="006E17E5"/>
    <w:rsid w:val="006E28B4"/>
    <w:rsid w:val="006E3D5A"/>
    <w:rsid w:val="006E42A9"/>
    <w:rsid w:val="006E4C76"/>
    <w:rsid w:val="006E5268"/>
    <w:rsid w:val="006E5476"/>
    <w:rsid w:val="006E5C0D"/>
    <w:rsid w:val="006E6F04"/>
    <w:rsid w:val="006E6FF8"/>
    <w:rsid w:val="006E7584"/>
    <w:rsid w:val="006E7CFD"/>
    <w:rsid w:val="006F0B48"/>
    <w:rsid w:val="006F111D"/>
    <w:rsid w:val="006F17B1"/>
    <w:rsid w:val="006F2601"/>
    <w:rsid w:val="006F2800"/>
    <w:rsid w:val="006F2C93"/>
    <w:rsid w:val="006F3E90"/>
    <w:rsid w:val="006F4A3B"/>
    <w:rsid w:val="006F6278"/>
    <w:rsid w:val="00701022"/>
    <w:rsid w:val="0070121B"/>
    <w:rsid w:val="0070184D"/>
    <w:rsid w:val="00701DDF"/>
    <w:rsid w:val="00701EC8"/>
    <w:rsid w:val="00702158"/>
    <w:rsid w:val="00702247"/>
    <w:rsid w:val="0070269A"/>
    <w:rsid w:val="007026FD"/>
    <w:rsid w:val="00704CBD"/>
    <w:rsid w:val="007059E9"/>
    <w:rsid w:val="00705DC2"/>
    <w:rsid w:val="0070655B"/>
    <w:rsid w:val="00707DE3"/>
    <w:rsid w:val="00710292"/>
    <w:rsid w:val="007117D5"/>
    <w:rsid w:val="00712732"/>
    <w:rsid w:val="00712EBB"/>
    <w:rsid w:val="007134A4"/>
    <w:rsid w:val="00714054"/>
    <w:rsid w:val="00714083"/>
    <w:rsid w:val="00715A69"/>
    <w:rsid w:val="00716559"/>
    <w:rsid w:val="0071714B"/>
    <w:rsid w:val="00717558"/>
    <w:rsid w:val="007205F0"/>
    <w:rsid w:val="00721A3E"/>
    <w:rsid w:val="0072271B"/>
    <w:rsid w:val="00722BCC"/>
    <w:rsid w:val="007233E2"/>
    <w:rsid w:val="00723C90"/>
    <w:rsid w:val="00724702"/>
    <w:rsid w:val="007249F5"/>
    <w:rsid w:val="007257C5"/>
    <w:rsid w:val="007258FF"/>
    <w:rsid w:val="007264FB"/>
    <w:rsid w:val="00727237"/>
    <w:rsid w:val="00727B2A"/>
    <w:rsid w:val="00730545"/>
    <w:rsid w:val="00730CB7"/>
    <w:rsid w:val="00733153"/>
    <w:rsid w:val="00733B22"/>
    <w:rsid w:val="00733D76"/>
    <w:rsid w:val="00734A07"/>
    <w:rsid w:val="007367CA"/>
    <w:rsid w:val="00736C6D"/>
    <w:rsid w:val="007375EE"/>
    <w:rsid w:val="00737C0A"/>
    <w:rsid w:val="00740187"/>
    <w:rsid w:val="00740D41"/>
    <w:rsid w:val="00741C58"/>
    <w:rsid w:val="00741C5E"/>
    <w:rsid w:val="00743262"/>
    <w:rsid w:val="0074424F"/>
    <w:rsid w:val="007444BF"/>
    <w:rsid w:val="007444FA"/>
    <w:rsid w:val="007463BC"/>
    <w:rsid w:val="00746F94"/>
    <w:rsid w:val="00747C97"/>
    <w:rsid w:val="00747CEF"/>
    <w:rsid w:val="00747E71"/>
    <w:rsid w:val="007501EF"/>
    <w:rsid w:val="0075028B"/>
    <w:rsid w:val="00750482"/>
    <w:rsid w:val="00750D85"/>
    <w:rsid w:val="00750D90"/>
    <w:rsid w:val="00751041"/>
    <w:rsid w:val="00752FEA"/>
    <w:rsid w:val="0075312E"/>
    <w:rsid w:val="00753320"/>
    <w:rsid w:val="00753B52"/>
    <w:rsid w:val="0075464B"/>
    <w:rsid w:val="0075498F"/>
    <w:rsid w:val="0075523F"/>
    <w:rsid w:val="00755E79"/>
    <w:rsid w:val="00756F86"/>
    <w:rsid w:val="00757844"/>
    <w:rsid w:val="0076013E"/>
    <w:rsid w:val="00761B39"/>
    <w:rsid w:val="00762011"/>
    <w:rsid w:val="00763A63"/>
    <w:rsid w:val="00763A71"/>
    <w:rsid w:val="00764193"/>
    <w:rsid w:val="007645ED"/>
    <w:rsid w:val="00765EDC"/>
    <w:rsid w:val="007660C6"/>
    <w:rsid w:val="00766B59"/>
    <w:rsid w:val="00767897"/>
    <w:rsid w:val="00770419"/>
    <w:rsid w:val="00770DA1"/>
    <w:rsid w:val="00772036"/>
    <w:rsid w:val="0077203D"/>
    <w:rsid w:val="00772114"/>
    <w:rsid w:val="00772150"/>
    <w:rsid w:val="007721E3"/>
    <w:rsid w:val="00774222"/>
    <w:rsid w:val="00775850"/>
    <w:rsid w:val="00775C24"/>
    <w:rsid w:val="00776534"/>
    <w:rsid w:val="007768AE"/>
    <w:rsid w:val="00777098"/>
    <w:rsid w:val="00777322"/>
    <w:rsid w:val="007775D5"/>
    <w:rsid w:val="00777C1D"/>
    <w:rsid w:val="00780D57"/>
    <w:rsid w:val="00780F67"/>
    <w:rsid w:val="007818C5"/>
    <w:rsid w:val="00782F5F"/>
    <w:rsid w:val="00784306"/>
    <w:rsid w:val="00784450"/>
    <w:rsid w:val="007851D3"/>
    <w:rsid w:val="007857B5"/>
    <w:rsid w:val="007859B6"/>
    <w:rsid w:val="00785F9C"/>
    <w:rsid w:val="00786578"/>
    <w:rsid w:val="00786D03"/>
    <w:rsid w:val="00786E5B"/>
    <w:rsid w:val="007914C4"/>
    <w:rsid w:val="00792ACD"/>
    <w:rsid w:val="0079543C"/>
    <w:rsid w:val="00795707"/>
    <w:rsid w:val="007958A2"/>
    <w:rsid w:val="00795A32"/>
    <w:rsid w:val="00795C4E"/>
    <w:rsid w:val="00796292"/>
    <w:rsid w:val="00797438"/>
    <w:rsid w:val="00797A25"/>
    <w:rsid w:val="00797D43"/>
    <w:rsid w:val="007A03B1"/>
    <w:rsid w:val="007A0520"/>
    <w:rsid w:val="007A0A50"/>
    <w:rsid w:val="007A10E6"/>
    <w:rsid w:val="007A1136"/>
    <w:rsid w:val="007A241F"/>
    <w:rsid w:val="007A26FB"/>
    <w:rsid w:val="007A2E2F"/>
    <w:rsid w:val="007A46C9"/>
    <w:rsid w:val="007A477C"/>
    <w:rsid w:val="007A4B24"/>
    <w:rsid w:val="007A530D"/>
    <w:rsid w:val="007A5835"/>
    <w:rsid w:val="007A5CE6"/>
    <w:rsid w:val="007A7A89"/>
    <w:rsid w:val="007B164C"/>
    <w:rsid w:val="007B3EEC"/>
    <w:rsid w:val="007B3F83"/>
    <w:rsid w:val="007B4D02"/>
    <w:rsid w:val="007B62F5"/>
    <w:rsid w:val="007B6391"/>
    <w:rsid w:val="007B6B9A"/>
    <w:rsid w:val="007B7ACF"/>
    <w:rsid w:val="007C07D2"/>
    <w:rsid w:val="007C0C41"/>
    <w:rsid w:val="007C0E51"/>
    <w:rsid w:val="007C0F7B"/>
    <w:rsid w:val="007C10F5"/>
    <w:rsid w:val="007C1A08"/>
    <w:rsid w:val="007C1A56"/>
    <w:rsid w:val="007C22A2"/>
    <w:rsid w:val="007C2322"/>
    <w:rsid w:val="007C2370"/>
    <w:rsid w:val="007C3B5C"/>
    <w:rsid w:val="007C4B16"/>
    <w:rsid w:val="007C573D"/>
    <w:rsid w:val="007C5EB7"/>
    <w:rsid w:val="007C650B"/>
    <w:rsid w:val="007C6933"/>
    <w:rsid w:val="007C7FB6"/>
    <w:rsid w:val="007D04E6"/>
    <w:rsid w:val="007D06EE"/>
    <w:rsid w:val="007D077D"/>
    <w:rsid w:val="007D0C46"/>
    <w:rsid w:val="007D0D57"/>
    <w:rsid w:val="007D1E11"/>
    <w:rsid w:val="007D20B0"/>
    <w:rsid w:val="007D22B8"/>
    <w:rsid w:val="007D2656"/>
    <w:rsid w:val="007D3ABD"/>
    <w:rsid w:val="007D3FAE"/>
    <w:rsid w:val="007D499C"/>
    <w:rsid w:val="007D4BBF"/>
    <w:rsid w:val="007D576A"/>
    <w:rsid w:val="007D7965"/>
    <w:rsid w:val="007E0EDD"/>
    <w:rsid w:val="007E0F1F"/>
    <w:rsid w:val="007E1165"/>
    <w:rsid w:val="007E116C"/>
    <w:rsid w:val="007E24F9"/>
    <w:rsid w:val="007E2D10"/>
    <w:rsid w:val="007E4431"/>
    <w:rsid w:val="007E479E"/>
    <w:rsid w:val="007E4FAE"/>
    <w:rsid w:val="007E5416"/>
    <w:rsid w:val="007E5691"/>
    <w:rsid w:val="007E56DD"/>
    <w:rsid w:val="007E614B"/>
    <w:rsid w:val="007E652F"/>
    <w:rsid w:val="007E6F67"/>
    <w:rsid w:val="007E7BB8"/>
    <w:rsid w:val="007E7BEA"/>
    <w:rsid w:val="007F0400"/>
    <w:rsid w:val="007F040C"/>
    <w:rsid w:val="007F0A9F"/>
    <w:rsid w:val="007F0BD1"/>
    <w:rsid w:val="007F2143"/>
    <w:rsid w:val="007F268D"/>
    <w:rsid w:val="007F2AD8"/>
    <w:rsid w:val="007F2BEA"/>
    <w:rsid w:val="007F36BA"/>
    <w:rsid w:val="007F446A"/>
    <w:rsid w:val="007F45C9"/>
    <w:rsid w:val="007F497F"/>
    <w:rsid w:val="007F5124"/>
    <w:rsid w:val="007F53C0"/>
    <w:rsid w:val="007F59F5"/>
    <w:rsid w:val="007F6AC2"/>
    <w:rsid w:val="00801AB1"/>
    <w:rsid w:val="008033B8"/>
    <w:rsid w:val="00803689"/>
    <w:rsid w:val="00803EAF"/>
    <w:rsid w:val="00803EBA"/>
    <w:rsid w:val="0080498C"/>
    <w:rsid w:val="00805B7B"/>
    <w:rsid w:val="00805D34"/>
    <w:rsid w:val="00805E96"/>
    <w:rsid w:val="00806393"/>
    <w:rsid w:val="00813405"/>
    <w:rsid w:val="0081357E"/>
    <w:rsid w:val="00813C9D"/>
    <w:rsid w:val="00816BEF"/>
    <w:rsid w:val="008179EA"/>
    <w:rsid w:val="00817C35"/>
    <w:rsid w:val="0082025A"/>
    <w:rsid w:val="0082044F"/>
    <w:rsid w:val="00820DEF"/>
    <w:rsid w:val="008211EA"/>
    <w:rsid w:val="00821B46"/>
    <w:rsid w:val="00821EFF"/>
    <w:rsid w:val="008222AD"/>
    <w:rsid w:val="00822561"/>
    <w:rsid w:val="008225F9"/>
    <w:rsid w:val="00822732"/>
    <w:rsid w:val="008227BB"/>
    <w:rsid w:val="00822FFE"/>
    <w:rsid w:val="00823691"/>
    <w:rsid w:val="00824CC3"/>
    <w:rsid w:val="0083004B"/>
    <w:rsid w:val="00830AF2"/>
    <w:rsid w:val="00830EAB"/>
    <w:rsid w:val="008310D2"/>
    <w:rsid w:val="0083124D"/>
    <w:rsid w:val="0083139E"/>
    <w:rsid w:val="00831C67"/>
    <w:rsid w:val="00831F24"/>
    <w:rsid w:val="00832458"/>
    <w:rsid w:val="00832601"/>
    <w:rsid w:val="0083264F"/>
    <w:rsid w:val="00832AD0"/>
    <w:rsid w:val="00832B96"/>
    <w:rsid w:val="00832DD9"/>
    <w:rsid w:val="0083311F"/>
    <w:rsid w:val="008338F6"/>
    <w:rsid w:val="008341AE"/>
    <w:rsid w:val="0083687A"/>
    <w:rsid w:val="00840A8B"/>
    <w:rsid w:val="00841483"/>
    <w:rsid w:val="00841487"/>
    <w:rsid w:val="00842ACC"/>
    <w:rsid w:val="0084457D"/>
    <w:rsid w:val="00844AC8"/>
    <w:rsid w:val="0084510F"/>
    <w:rsid w:val="008452AF"/>
    <w:rsid w:val="008454E1"/>
    <w:rsid w:val="00845E68"/>
    <w:rsid w:val="008460C4"/>
    <w:rsid w:val="008469B2"/>
    <w:rsid w:val="00846FC6"/>
    <w:rsid w:val="008472DB"/>
    <w:rsid w:val="008476CA"/>
    <w:rsid w:val="00850E57"/>
    <w:rsid w:val="0085101E"/>
    <w:rsid w:val="00851E82"/>
    <w:rsid w:val="00852470"/>
    <w:rsid w:val="00852846"/>
    <w:rsid w:val="0085302F"/>
    <w:rsid w:val="008538E8"/>
    <w:rsid w:val="00854CBF"/>
    <w:rsid w:val="00855836"/>
    <w:rsid w:val="00855C11"/>
    <w:rsid w:val="008566CA"/>
    <w:rsid w:val="008568C5"/>
    <w:rsid w:val="00860F6F"/>
    <w:rsid w:val="0086178C"/>
    <w:rsid w:val="0086242F"/>
    <w:rsid w:val="00862D18"/>
    <w:rsid w:val="008632E4"/>
    <w:rsid w:val="00864BA7"/>
    <w:rsid w:val="00864FA0"/>
    <w:rsid w:val="00864FD5"/>
    <w:rsid w:val="00865B58"/>
    <w:rsid w:val="00866BC3"/>
    <w:rsid w:val="00867216"/>
    <w:rsid w:val="0086743B"/>
    <w:rsid w:val="00867746"/>
    <w:rsid w:val="0087154B"/>
    <w:rsid w:val="00871579"/>
    <w:rsid w:val="00871B86"/>
    <w:rsid w:val="00872962"/>
    <w:rsid w:val="008731BF"/>
    <w:rsid w:val="00873A05"/>
    <w:rsid w:val="00873C79"/>
    <w:rsid w:val="00873FE1"/>
    <w:rsid w:val="008741E0"/>
    <w:rsid w:val="008742B8"/>
    <w:rsid w:val="00874AFA"/>
    <w:rsid w:val="00874C43"/>
    <w:rsid w:val="00875044"/>
    <w:rsid w:val="008752CF"/>
    <w:rsid w:val="00875326"/>
    <w:rsid w:val="00876093"/>
    <w:rsid w:val="008762C0"/>
    <w:rsid w:val="0087641F"/>
    <w:rsid w:val="008774B2"/>
    <w:rsid w:val="008815C0"/>
    <w:rsid w:val="00881964"/>
    <w:rsid w:val="008832BB"/>
    <w:rsid w:val="0088412E"/>
    <w:rsid w:val="00884D1C"/>
    <w:rsid w:val="00884DE8"/>
    <w:rsid w:val="008864C3"/>
    <w:rsid w:val="008865D3"/>
    <w:rsid w:val="00886925"/>
    <w:rsid w:val="00886B83"/>
    <w:rsid w:val="00887AA2"/>
    <w:rsid w:val="00887EDE"/>
    <w:rsid w:val="008916E6"/>
    <w:rsid w:val="00891B0F"/>
    <w:rsid w:val="00892246"/>
    <w:rsid w:val="008926B9"/>
    <w:rsid w:val="00892BD6"/>
    <w:rsid w:val="00894579"/>
    <w:rsid w:val="00895C6B"/>
    <w:rsid w:val="00896A5C"/>
    <w:rsid w:val="008A0126"/>
    <w:rsid w:val="008A0954"/>
    <w:rsid w:val="008A0D61"/>
    <w:rsid w:val="008A1030"/>
    <w:rsid w:val="008A241B"/>
    <w:rsid w:val="008A24FA"/>
    <w:rsid w:val="008A2A96"/>
    <w:rsid w:val="008A531F"/>
    <w:rsid w:val="008A595A"/>
    <w:rsid w:val="008A596A"/>
    <w:rsid w:val="008A5C0A"/>
    <w:rsid w:val="008A636F"/>
    <w:rsid w:val="008A6F31"/>
    <w:rsid w:val="008A79F4"/>
    <w:rsid w:val="008A7BDE"/>
    <w:rsid w:val="008A7E95"/>
    <w:rsid w:val="008A7EC2"/>
    <w:rsid w:val="008B1063"/>
    <w:rsid w:val="008B2637"/>
    <w:rsid w:val="008B33C4"/>
    <w:rsid w:val="008B379F"/>
    <w:rsid w:val="008B45A5"/>
    <w:rsid w:val="008B4B07"/>
    <w:rsid w:val="008B5768"/>
    <w:rsid w:val="008B5B1F"/>
    <w:rsid w:val="008B5F93"/>
    <w:rsid w:val="008B5FD5"/>
    <w:rsid w:val="008B665C"/>
    <w:rsid w:val="008B6948"/>
    <w:rsid w:val="008B6D55"/>
    <w:rsid w:val="008B6DA0"/>
    <w:rsid w:val="008B6E0E"/>
    <w:rsid w:val="008B74A5"/>
    <w:rsid w:val="008C0190"/>
    <w:rsid w:val="008C01FF"/>
    <w:rsid w:val="008C2E36"/>
    <w:rsid w:val="008C32C7"/>
    <w:rsid w:val="008C3D0F"/>
    <w:rsid w:val="008C455A"/>
    <w:rsid w:val="008C4EDA"/>
    <w:rsid w:val="008C52C4"/>
    <w:rsid w:val="008C562A"/>
    <w:rsid w:val="008C5863"/>
    <w:rsid w:val="008C6ABA"/>
    <w:rsid w:val="008C6D7A"/>
    <w:rsid w:val="008C7124"/>
    <w:rsid w:val="008C713E"/>
    <w:rsid w:val="008C7514"/>
    <w:rsid w:val="008C7A3C"/>
    <w:rsid w:val="008C7B9B"/>
    <w:rsid w:val="008C7DF0"/>
    <w:rsid w:val="008D0D6B"/>
    <w:rsid w:val="008D0E73"/>
    <w:rsid w:val="008D1470"/>
    <w:rsid w:val="008D14B9"/>
    <w:rsid w:val="008D1648"/>
    <w:rsid w:val="008D1892"/>
    <w:rsid w:val="008D2745"/>
    <w:rsid w:val="008D7B73"/>
    <w:rsid w:val="008E16C1"/>
    <w:rsid w:val="008E1922"/>
    <w:rsid w:val="008E1F25"/>
    <w:rsid w:val="008E27CB"/>
    <w:rsid w:val="008E2AE3"/>
    <w:rsid w:val="008E2D72"/>
    <w:rsid w:val="008E449D"/>
    <w:rsid w:val="008E57B4"/>
    <w:rsid w:val="008E6791"/>
    <w:rsid w:val="008E6C17"/>
    <w:rsid w:val="008E6E9E"/>
    <w:rsid w:val="008E7C43"/>
    <w:rsid w:val="008F06E3"/>
    <w:rsid w:val="008F0811"/>
    <w:rsid w:val="008F0968"/>
    <w:rsid w:val="008F1C27"/>
    <w:rsid w:val="008F2C96"/>
    <w:rsid w:val="008F3AB4"/>
    <w:rsid w:val="008F432B"/>
    <w:rsid w:val="008F43F9"/>
    <w:rsid w:val="008F4452"/>
    <w:rsid w:val="008F4FFD"/>
    <w:rsid w:val="008F6B7D"/>
    <w:rsid w:val="008F6E39"/>
    <w:rsid w:val="008F7D13"/>
    <w:rsid w:val="00900127"/>
    <w:rsid w:val="00900473"/>
    <w:rsid w:val="009008C4"/>
    <w:rsid w:val="009013F6"/>
    <w:rsid w:val="00901880"/>
    <w:rsid w:val="00901EB2"/>
    <w:rsid w:val="00902242"/>
    <w:rsid w:val="00902AA5"/>
    <w:rsid w:val="00903BA1"/>
    <w:rsid w:val="0090589C"/>
    <w:rsid w:val="00905A66"/>
    <w:rsid w:val="00905DB4"/>
    <w:rsid w:val="00905E7B"/>
    <w:rsid w:val="00906C94"/>
    <w:rsid w:val="00912B9A"/>
    <w:rsid w:val="009130F8"/>
    <w:rsid w:val="00913494"/>
    <w:rsid w:val="00913A6F"/>
    <w:rsid w:val="00913C46"/>
    <w:rsid w:val="00913F80"/>
    <w:rsid w:val="009144B3"/>
    <w:rsid w:val="00914654"/>
    <w:rsid w:val="00914F50"/>
    <w:rsid w:val="009151B7"/>
    <w:rsid w:val="009152A9"/>
    <w:rsid w:val="00915AFA"/>
    <w:rsid w:val="00916292"/>
    <w:rsid w:val="00917D64"/>
    <w:rsid w:val="00921107"/>
    <w:rsid w:val="00921114"/>
    <w:rsid w:val="0092251C"/>
    <w:rsid w:val="009229C9"/>
    <w:rsid w:val="00922EF2"/>
    <w:rsid w:val="0092357A"/>
    <w:rsid w:val="0092402B"/>
    <w:rsid w:val="00925F80"/>
    <w:rsid w:val="00926773"/>
    <w:rsid w:val="00926DB9"/>
    <w:rsid w:val="00926DFE"/>
    <w:rsid w:val="00930B44"/>
    <w:rsid w:val="00931225"/>
    <w:rsid w:val="0093126B"/>
    <w:rsid w:val="009314FC"/>
    <w:rsid w:val="00931811"/>
    <w:rsid w:val="00931EFB"/>
    <w:rsid w:val="00932288"/>
    <w:rsid w:val="00932774"/>
    <w:rsid w:val="00932F73"/>
    <w:rsid w:val="009350DA"/>
    <w:rsid w:val="009357E4"/>
    <w:rsid w:val="00935975"/>
    <w:rsid w:val="00935CE8"/>
    <w:rsid w:val="0093791B"/>
    <w:rsid w:val="00940D6C"/>
    <w:rsid w:val="00941303"/>
    <w:rsid w:val="00941319"/>
    <w:rsid w:val="0094165E"/>
    <w:rsid w:val="009443AE"/>
    <w:rsid w:val="00944AF1"/>
    <w:rsid w:val="00944BA6"/>
    <w:rsid w:val="009455B5"/>
    <w:rsid w:val="009457AA"/>
    <w:rsid w:val="00946797"/>
    <w:rsid w:val="00946822"/>
    <w:rsid w:val="00946A55"/>
    <w:rsid w:val="00947C03"/>
    <w:rsid w:val="00950A7B"/>
    <w:rsid w:val="009511EB"/>
    <w:rsid w:val="00951C53"/>
    <w:rsid w:val="009550ED"/>
    <w:rsid w:val="00956153"/>
    <w:rsid w:val="009561B4"/>
    <w:rsid w:val="00956AA3"/>
    <w:rsid w:val="009574B7"/>
    <w:rsid w:val="009605C3"/>
    <w:rsid w:val="00960C66"/>
    <w:rsid w:val="009611D3"/>
    <w:rsid w:val="009616E2"/>
    <w:rsid w:val="00962193"/>
    <w:rsid w:val="009627CF"/>
    <w:rsid w:val="0096346D"/>
    <w:rsid w:val="00964D10"/>
    <w:rsid w:val="00965371"/>
    <w:rsid w:val="00965CC5"/>
    <w:rsid w:val="00965E71"/>
    <w:rsid w:val="009667F1"/>
    <w:rsid w:val="009668D3"/>
    <w:rsid w:val="009670C2"/>
    <w:rsid w:val="00970100"/>
    <w:rsid w:val="0097040B"/>
    <w:rsid w:val="0097042B"/>
    <w:rsid w:val="00970A28"/>
    <w:rsid w:val="00970CF9"/>
    <w:rsid w:val="00972177"/>
    <w:rsid w:val="00973DEE"/>
    <w:rsid w:val="00973DF4"/>
    <w:rsid w:val="00973FC2"/>
    <w:rsid w:val="00974556"/>
    <w:rsid w:val="00974624"/>
    <w:rsid w:val="00975300"/>
    <w:rsid w:val="009769C8"/>
    <w:rsid w:val="00976A59"/>
    <w:rsid w:val="009771B3"/>
    <w:rsid w:val="009773D6"/>
    <w:rsid w:val="00977C0C"/>
    <w:rsid w:val="00981B9C"/>
    <w:rsid w:val="00983210"/>
    <w:rsid w:val="0098376A"/>
    <w:rsid w:val="0098413C"/>
    <w:rsid w:val="00984A1A"/>
    <w:rsid w:val="0098560B"/>
    <w:rsid w:val="009861F2"/>
    <w:rsid w:val="009869D9"/>
    <w:rsid w:val="00986C00"/>
    <w:rsid w:val="009872EB"/>
    <w:rsid w:val="00987CEE"/>
    <w:rsid w:val="00990E73"/>
    <w:rsid w:val="00991EA5"/>
    <w:rsid w:val="00992B33"/>
    <w:rsid w:val="00993CA3"/>
    <w:rsid w:val="00993E4E"/>
    <w:rsid w:val="009945E8"/>
    <w:rsid w:val="00994751"/>
    <w:rsid w:val="00996A34"/>
    <w:rsid w:val="00997309"/>
    <w:rsid w:val="00997DE4"/>
    <w:rsid w:val="009A0F7D"/>
    <w:rsid w:val="009A1365"/>
    <w:rsid w:val="009A20BC"/>
    <w:rsid w:val="009A24FB"/>
    <w:rsid w:val="009A26E1"/>
    <w:rsid w:val="009A3C08"/>
    <w:rsid w:val="009A55FF"/>
    <w:rsid w:val="009A57CD"/>
    <w:rsid w:val="009A5DEE"/>
    <w:rsid w:val="009A6783"/>
    <w:rsid w:val="009A7AFF"/>
    <w:rsid w:val="009A7D13"/>
    <w:rsid w:val="009B03E8"/>
    <w:rsid w:val="009B0DA6"/>
    <w:rsid w:val="009B1A87"/>
    <w:rsid w:val="009B1D9F"/>
    <w:rsid w:val="009B2081"/>
    <w:rsid w:val="009B20D8"/>
    <w:rsid w:val="009B2576"/>
    <w:rsid w:val="009B297F"/>
    <w:rsid w:val="009B303B"/>
    <w:rsid w:val="009B31C1"/>
    <w:rsid w:val="009B3D52"/>
    <w:rsid w:val="009B4548"/>
    <w:rsid w:val="009B4699"/>
    <w:rsid w:val="009B4E55"/>
    <w:rsid w:val="009B5882"/>
    <w:rsid w:val="009B6A64"/>
    <w:rsid w:val="009B7ADA"/>
    <w:rsid w:val="009B7BF5"/>
    <w:rsid w:val="009C0631"/>
    <w:rsid w:val="009C0A21"/>
    <w:rsid w:val="009C1008"/>
    <w:rsid w:val="009C1AFF"/>
    <w:rsid w:val="009C218C"/>
    <w:rsid w:val="009C2AD1"/>
    <w:rsid w:val="009C2C60"/>
    <w:rsid w:val="009C33E2"/>
    <w:rsid w:val="009C3B12"/>
    <w:rsid w:val="009C3EC8"/>
    <w:rsid w:val="009C47F5"/>
    <w:rsid w:val="009C59C1"/>
    <w:rsid w:val="009C6158"/>
    <w:rsid w:val="009C6347"/>
    <w:rsid w:val="009C6874"/>
    <w:rsid w:val="009C6BB0"/>
    <w:rsid w:val="009C7ACB"/>
    <w:rsid w:val="009C7EF2"/>
    <w:rsid w:val="009D16B6"/>
    <w:rsid w:val="009D1939"/>
    <w:rsid w:val="009D1953"/>
    <w:rsid w:val="009D1BAB"/>
    <w:rsid w:val="009D2149"/>
    <w:rsid w:val="009D2F15"/>
    <w:rsid w:val="009D3F25"/>
    <w:rsid w:val="009D4B3F"/>
    <w:rsid w:val="009D4D1B"/>
    <w:rsid w:val="009D5899"/>
    <w:rsid w:val="009D648F"/>
    <w:rsid w:val="009D737C"/>
    <w:rsid w:val="009D7C02"/>
    <w:rsid w:val="009D7DFD"/>
    <w:rsid w:val="009E0DA5"/>
    <w:rsid w:val="009E1058"/>
    <w:rsid w:val="009E15A4"/>
    <w:rsid w:val="009E2248"/>
    <w:rsid w:val="009E284A"/>
    <w:rsid w:val="009E4179"/>
    <w:rsid w:val="009E4517"/>
    <w:rsid w:val="009E4732"/>
    <w:rsid w:val="009E59F4"/>
    <w:rsid w:val="009E5B76"/>
    <w:rsid w:val="009E5D79"/>
    <w:rsid w:val="009E7266"/>
    <w:rsid w:val="009E7D74"/>
    <w:rsid w:val="009F0190"/>
    <w:rsid w:val="009F0E1F"/>
    <w:rsid w:val="009F0F0E"/>
    <w:rsid w:val="009F1217"/>
    <w:rsid w:val="009F1D5A"/>
    <w:rsid w:val="009F1DEF"/>
    <w:rsid w:val="009F2418"/>
    <w:rsid w:val="009F2588"/>
    <w:rsid w:val="009F3A09"/>
    <w:rsid w:val="009F4228"/>
    <w:rsid w:val="009F7480"/>
    <w:rsid w:val="00A0011D"/>
    <w:rsid w:val="00A00170"/>
    <w:rsid w:val="00A01E51"/>
    <w:rsid w:val="00A03CB3"/>
    <w:rsid w:val="00A04433"/>
    <w:rsid w:val="00A04886"/>
    <w:rsid w:val="00A04BC8"/>
    <w:rsid w:val="00A0551C"/>
    <w:rsid w:val="00A05BB8"/>
    <w:rsid w:val="00A05FA8"/>
    <w:rsid w:val="00A06427"/>
    <w:rsid w:val="00A076BA"/>
    <w:rsid w:val="00A10913"/>
    <w:rsid w:val="00A10FF8"/>
    <w:rsid w:val="00A121A7"/>
    <w:rsid w:val="00A1221B"/>
    <w:rsid w:val="00A12416"/>
    <w:rsid w:val="00A1281D"/>
    <w:rsid w:val="00A12C57"/>
    <w:rsid w:val="00A136C6"/>
    <w:rsid w:val="00A136CE"/>
    <w:rsid w:val="00A13755"/>
    <w:rsid w:val="00A13A89"/>
    <w:rsid w:val="00A14256"/>
    <w:rsid w:val="00A14935"/>
    <w:rsid w:val="00A14BAC"/>
    <w:rsid w:val="00A14D5C"/>
    <w:rsid w:val="00A154F9"/>
    <w:rsid w:val="00A15B30"/>
    <w:rsid w:val="00A1666B"/>
    <w:rsid w:val="00A176D9"/>
    <w:rsid w:val="00A17BA4"/>
    <w:rsid w:val="00A207DC"/>
    <w:rsid w:val="00A2084F"/>
    <w:rsid w:val="00A20988"/>
    <w:rsid w:val="00A21118"/>
    <w:rsid w:val="00A22977"/>
    <w:rsid w:val="00A238CD"/>
    <w:rsid w:val="00A23A82"/>
    <w:rsid w:val="00A241F9"/>
    <w:rsid w:val="00A244C5"/>
    <w:rsid w:val="00A252B6"/>
    <w:rsid w:val="00A26788"/>
    <w:rsid w:val="00A2738E"/>
    <w:rsid w:val="00A275BE"/>
    <w:rsid w:val="00A27A38"/>
    <w:rsid w:val="00A27C3C"/>
    <w:rsid w:val="00A27D03"/>
    <w:rsid w:val="00A27DB4"/>
    <w:rsid w:val="00A30015"/>
    <w:rsid w:val="00A31308"/>
    <w:rsid w:val="00A314A0"/>
    <w:rsid w:val="00A3182B"/>
    <w:rsid w:val="00A31E50"/>
    <w:rsid w:val="00A320DB"/>
    <w:rsid w:val="00A3249C"/>
    <w:rsid w:val="00A33395"/>
    <w:rsid w:val="00A3410E"/>
    <w:rsid w:val="00A34CD7"/>
    <w:rsid w:val="00A35ACD"/>
    <w:rsid w:val="00A35AFF"/>
    <w:rsid w:val="00A36A84"/>
    <w:rsid w:val="00A370B4"/>
    <w:rsid w:val="00A37290"/>
    <w:rsid w:val="00A37836"/>
    <w:rsid w:val="00A4292D"/>
    <w:rsid w:val="00A4334A"/>
    <w:rsid w:val="00A444FD"/>
    <w:rsid w:val="00A44DBE"/>
    <w:rsid w:val="00A4513E"/>
    <w:rsid w:val="00A50E22"/>
    <w:rsid w:val="00A5127B"/>
    <w:rsid w:val="00A51744"/>
    <w:rsid w:val="00A518A1"/>
    <w:rsid w:val="00A53746"/>
    <w:rsid w:val="00A54141"/>
    <w:rsid w:val="00A54811"/>
    <w:rsid w:val="00A54BD8"/>
    <w:rsid w:val="00A54CB9"/>
    <w:rsid w:val="00A56340"/>
    <w:rsid w:val="00A57A69"/>
    <w:rsid w:val="00A57D6E"/>
    <w:rsid w:val="00A57F82"/>
    <w:rsid w:val="00A60CFB"/>
    <w:rsid w:val="00A60EF5"/>
    <w:rsid w:val="00A60FE1"/>
    <w:rsid w:val="00A61853"/>
    <w:rsid w:val="00A618C6"/>
    <w:rsid w:val="00A6237C"/>
    <w:rsid w:val="00A62B7D"/>
    <w:rsid w:val="00A62E31"/>
    <w:rsid w:val="00A6317B"/>
    <w:rsid w:val="00A63184"/>
    <w:rsid w:val="00A63482"/>
    <w:rsid w:val="00A63DF1"/>
    <w:rsid w:val="00A647CD"/>
    <w:rsid w:val="00A6560B"/>
    <w:rsid w:val="00A656F1"/>
    <w:rsid w:val="00A65C42"/>
    <w:rsid w:val="00A66396"/>
    <w:rsid w:val="00A66A8E"/>
    <w:rsid w:val="00A671D1"/>
    <w:rsid w:val="00A7234D"/>
    <w:rsid w:val="00A747CC"/>
    <w:rsid w:val="00A754DD"/>
    <w:rsid w:val="00A75510"/>
    <w:rsid w:val="00A75723"/>
    <w:rsid w:val="00A7575D"/>
    <w:rsid w:val="00A75E47"/>
    <w:rsid w:val="00A762F9"/>
    <w:rsid w:val="00A76961"/>
    <w:rsid w:val="00A76BFB"/>
    <w:rsid w:val="00A81A20"/>
    <w:rsid w:val="00A821CF"/>
    <w:rsid w:val="00A829F1"/>
    <w:rsid w:val="00A82EDC"/>
    <w:rsid w:val="00A83DDC"/>
    <w:rsid w:val="00A83F37"/>
    <w:rsid w:val="00A84BED"/>
    <w:rsid w:val="00A8536F"/>
    <w:rsid w:val="00A857C4"/>
    <w:rsid w:val="00A85CD9"/>
    <w:rsid w:val="00A85E27"/>
    <w:rsid w:val="00A85F0A"/>
    <w:rsid w:val="00A86D6F"/>
    <w:rsid w:val="00A86E3E"/>
    <w:rsid w:val="00A87BAE"/>
    <w:rsid w:val="00A90976"/>
    <w:rsid w:val="00A919F1"/>
    <w:rsid w:val="00A92491"/>
    <w:rsid w:val="00A925DB"/>
    <w:rsid w:val="00A94354"/>
    <w:rsid w:val="00A94796"/>
    <w:rsid w:val="00A951AC"/>
    <w:rsid w:val="00A96EF6"/>
    <w:rsid w:val="00AA01B8"/>
    <w:rsid w:val="00AA14C3"/>
    <w:rsid w:val="00AA34A6"/>
    <w:rsid w:val="00AA3FA7"/>
    <w:rsid w:val="00AA4239"/>
    <w:rsid w:val="00AA4D46"/>
    <w:rsid w:val="00AA6816"/>
    <w:rsid w:val="00AA704F"/>
    <w:rsid w:val="00AB0EF6"/>
    <w:rsid w:val="00AB13D6"/>
    <w:rsid w:val="00AB1B38"/>
    <w:rsid w:val="00AB217D"/>
    <w:rsid w:val="00AB2581"/>
    <w:rsid w:val="00AB2643"/>
    <w:rsid w:val="00AB27C6"/>
    <w:rsid w:val="00AB354B"/>
    <w:rsid w:val="00AB3C78"/>
    <w:rsid w:val="00AB3F18"/>
    <w:rsid w:val="00AB4013"/>
    <w:rsid w:val="00AB40E0"/>
    <w:rsid w:val="00AB462F"/>
    <w:rsid w:val="00AB4C0D"/>
    <w:rsid w:val="00AB557D"/>
    <w:rsid w:val="00AB6533"/>
    <w:rsid w:val="00AB689D"/>
    <w:rsid w:val="00AB6EB6"/>
    <w:rsid w:val="00AB7AFF"/>
    <w:rsid w:val="00AC0687"/>
    <w:rsid w:val="00AC070D"/>
    <w:rsid w:val="00AC1EB2"/>
    <w:rsid w:val="00AC2A94"/>
    <w:rsid w:val="00AC2E66"/>
    <w:rsid w:val="00AC322C"/>
    <w:rsid w:val="00AC33E2"/>
    <w:rsid w:val="00AC3674"/>
    <w:rsid w:val="00AC3712"/>
    <w:rsid w:val="00AC4A20"/>
    <w:rsid w:val="00AC4FEA"/>
    <w:rsid w:val="00AC5213"/>
    <w:rsid w:val="00AC53F3"/>
    <w:rsid w:val="00AC584E"/>
    <w:rsid w:val="00AC5A32"/>
    <w:rsid w:val="00AC5B6E"/>
    <w:rsid w:val="00AC61A5"/>
    <w:rsid w:val="00AD0A32"/>
    <w:rsid w:val="00AD1442"/>
    <w:rsid w:val="00AD14AB"/>
    <w:rsid w:val="00AD1955"/>
    <w:rsid w:val="00AD1B73"/>
    <w:rsid w:val="00AD20ED"/>
    <w:rsid w:val="00AD2D01"/>
    <w:rsid w:val="00AD2D3C"/>
    <w:rsid w:val="00AD2FE7"/>
    <w:rsid w:val="00AD30DD"/>
    <w:rsid w:val="00AD3BC2"/>
    <w:rsid w:val="00AD4434"/>
    <w:rsid w:val="00AD4438"/>
    <w:rsid w:val="00AD53AA"/>
    <w:rsid w:val="00AD79BF"/>
    <w:rsid w:val="00AE0A7F"/>
    <w:rsid w:val="00AE144D"/>
    <w:rsid w:val="00AE182F"/>
    <w:rsid w:val="00AE1D52"/>
    <w:rsid w:val="00AE2133"/>
    <w:rsid w:val="00AE43F4"/>
    <w:rsid w:val="00AE4A93"/>
    <w:rsid w:val="00AE4AB5"/>
    <w:rsid w:val="00AE5099"/>
    <w:rsid w:val="00AE50D8"/>
    <w:rsid w:val="00AE606A"/>
    <w:rsid w:val="00AE6591"/>
    <w:rsid w:val="00AE6782"/>
    <w:rsid w:val="00AE70BD"/>
    <w:rsid w:val="00AF0A66"/>
    <w:rsid w:val="00AF0CF8"/>
    <w:rsid w:val="00AF1FE9"/>
    <w:rsid w:val="00AF262C"/>
    <w:rsid w:val="00AF415A"/>
    <w:rsid w:val="00AF44F2"/>
    <w:rsid w:val="00AF53AB"/>
    <w:rsid w:val="00AF53BA"/>
    <w:rsid w:val="00AF69B4"/>
    <w:rsid w:val="00AF6B70"/>
    <w:rsid w:val="00AF717B"/>
    <w:rsid w:val="00AF7E65"/>
    <w:rsid w:val="00AF7EAB"/>
    <w:rsid w:val="00B00D77"/>
    <w:rsid w:val="00B01283"/>
    <w:rsid w:val="00B0153C"/>
    <w:rsid w:val="00B0157F"/>
    <w:rsid w:val="00B01A50"/>
    <w:rsid w:val="00B02A46"/>
    <w:rsid w:val="00B03315"/>
    <w:rsid w:val="00B035B9"/>
    <w:rsid w:val="00B0518B"/>
    <w:rsid w:val="00B05707"/>
    <w:rsid w:val="00B05993"/>
    <w:rsid w:val="00B060CD"/>
    <w:rsid w:val="00B0686C"/>
    <w:rsid w:val="00B06E97"/>
    <w:rsid w:val="00B11CDA"/>
    <w:rsid w:val="00B12911"/>
    <w:rsid w:val="00B134E7"/>
    <w:rsid w:val="00B14C15"/>
    <w:rsid w:val="00B14FC0"/>
    <w:rsid w:val="00B15F31"/>
    <w:rsid w:val="00B163F3"/>
    <w:rsid w:val="00B165E7"/>
    <w:rsid w:val="00B16741"/>
    <w:rsid w:val="00B16E86"/>
    <w:rsid w:val="00B17551"/>
    <w:rsid w:val="00B20364"/>
    <w:rsid w:val="00B20488"/>
    <w:rsid w:val="00B2130C"/>
    <w:rsid w:val="00B224BF"/>
    <w:rsid w:val="00B2300D"/>
    <w:rsid w:val="00B230F6"/>
    <w:rsid w:val="00B23139"/>
    <w:rsid w:val="00B23551"/>
    <w:rsid w:val="00B23DAF"/>
    <w:rsid w:val="00B24123"/>
    <w:rsid w:val="00B25335"/>
    <w:rsid w:val="00B26391"/>
    <w:rsid w:val="00B26A06"/>
    <w:rsid w:val="00B27F3D"/>
    <w:rsid w:val="00B30EA6"/>
    <w:rsid w:val="00B3108F"/>
    <w:rsid w:val="00B3114E"/>
    <w:rsid w:val="00B3148D"/>
    <w:rsid w:val="00B31843"/>
    <w:rsid w:val="00B31B5E"/>
    <w:rsid w:val="00B348A7"/>
    <w:rsid w:val="00B34DAE"/>
    <w:rsid w:val="00B36CA1"/>
    <w:rsid w:val="00B37117"/>
    <w:rsid w:val="00B377D8"/>
    <w:rsid w:val="00B37E2D"/>
    <w:rsid w:val="00B40514"/>
    <w:rsid w:val="00B40694"/>
    <w:rsid w:val="00B41534"/>
    <w:rsid w:val="00B4154B"/>
    <w:rsid w:val="00B41784"/>
    <w:rsid w:val="00B42E68"/>
    <w:rsid w:val="00B434C2"/>
    <w:rsid w:val="00B44102"/>
    <w:rsid w:val="00B4420E"/>
    <w:rsid w:val="00B44F9A"/>
    <w:rsid w:val="00B45669"/>
    <w:rsid w:val="00B463C0"/>
    <w:rsid w:val="00B46478"/>
    <w:rsid w:val="00B466F0"/>
    <w:rsid w:val="00B467BB"/>
    <w:rsid w:val="00B478A6"/>
    <w:rsid w:val="00B47E3B"/>
    <w:rsid w:val="00B511ED"/>
    <w:rsid w:val="00B51602"/>
    <w:rsid w:val="00B5167E"/>
    <w:rsid w:val="00B5216C"/>
    <w:rsid w:val="00B52540"/>
    <w:rsid w:val="00B53B95"/>
    <w:rsid w:val="00B53C34"/>
    <w:rsid w:val="00B55FD7"/>
    <w:rsid w:val="00B5657A"/>
    <w:rsid w:val="00B573D1"/>
    <w:rsid w:val="00B57961"/>
    <w:rsid w:val="00B6076F"/>
    <w:rsid w:val="00B61614"/>
    <w:rsid w:val="00B61B8F"/>
    <w:rsid w:val="00B6237C"/>
    <w:rsid w:val="00B62488"/>
    <w:rsid w:val="00B628A4"/>
    <w:rsid w:val="00B64774"/>
    <w:rsid w:val="00B64E06"/>
    <w:rsid w:val="00B65CB5"/>
    <w:rsid w:val="00B65D4A"/>
    <w:rsid w:val="00B66B65"/>
    <w:rsid w:val="00B679FF"/>
    <w:rsid w:val="00B7145B"/>
    <w:rsid w:val="00B715F3"/>
    <w:rsid w:val="00B71881"/>
    <w:rsid w:val="00B72969"/>
    <w:rsid w:val="00B72FA4"/>
    <w:rsid w:val="00B735EB"/>
    <w:rsid w:val="00B7374F"/>
    <w:rsid w:val="00B74500"/>
    <w:rsid w:val="00B74AFB"/>
    <w:rsid w:val="00B754EA"/>
    <w:rsid w:val="00B75B7C"/>
    <w:rsid w:val="00B761E8"/>
    <w:rsid w:val="00B768AD"/>
    <w:rsid w:val="00B76D77"/>
    <w:rsid w:val="00B7761D"/>
    <w:rsid w:val="00B77BCD"/>
    <w:rsid w:val="00B77E2A"/>
    <w:rsid w:val="00B81393"/>
    <w:rsid w:val="00B8337C"/>
    <w:rsid w:val="00B83638"/>
    <w:rsid w:val="00B839BC"/>
    <w:rsid w:val="00B83B44"/>
    <w:rsid w:val="00B84675"/>
    <w:rsid w:val="00B84B83"/>
    <w:rsid w:val="00B8517C"/>
    <w:rsid w:val="00B853F9"/>
    <w:rsid w:val="00B8608D"/>
    <w:rsid w:val="00B8727B"/>
    <w:rsid w:val="00B87E11"/>
    <w:rsid w:val="00B92342"/>
    <w:rsid w:val="00B93445"/>
    <w:rsid w:val="00B939A1"/>
    <w:rsid w:val="00B93B87"/>
    <w:rsid w:val="00B9465D"/>
    <w:rsid w:val="00B94881"/>
    <w:rsid w:val="00B95517"/>
    <w:rsid w:val="00B9579B"/>
    <w:rsid w:val="00B95C12"/>
    <w:rsid w:val="00B961F1"/>
    <w:rsid w:val="00B96885"/>
    <w:rsid w:val="00B96C4E"/>
    <w:rsid w:val="00B97B21"/>
    <w:rsid w:val="00B97C50"/>
    <w:rsid w:val="00BA0984"/>
    <w:rsid w:val="00BA3212"/>
    <w:rsid w:val="00BA3B4B"/>
    <w:rsid w:val="00BA40BE"/>
    <w:rsid w:val="00BA4D41"/>
    <w:rsid w:val="00BA67FC"/>
    <w:rsid w:val="00BA6B8E"/>
    <w:rsid w:val="00BA7285"/>
    <w:rsid w:val="00BA73E7"/>
    <w:rsid w:val="00BA7BE8"/>
    <w:rsid w:val="00BB0187"/>
    <w:rsid w:val="00BB08F7"/>
    <w:rsid w:val="00BB0CA1"/>
    <w:rsid w:val="00BB133D"/>
    <w:rsid w:val="00BB1924"/>
    <w:rsid w:val="00BB214B"/>
    <w:rsid w:val="00BB26EB"/>
    <w:rsid w:val="00BB2C15"/>
    <w:rsid w:val="00BB4049"/>
    <w:rsid w:val="00BB446B"/>
    <w:rsid w:val="00BB6A81"/>
    <w:rsid w:val="00BB7005"/>
    <w:rsid w:val="00BB78E6"/>
    <w:rsid w:val="00BB7AF7"/>
    <w:rsid w:val="00BC00C1"/>
    <w:rsid w:val="00BC056B"/>
    <w:rsid w:val="00BC0688"/>
    <w:rsid w:val="00BC0AA2"/>
    <w:rsid w:val="00BC1478"/>
    <w:rsid w:val="00BC19B5"/>
    <w:rsid w:val="00BC1BFE"/>
    <w:rsid w:val="00BC2264"/>
    <w:rsid w:val="00BC2C3A"/>
    <w:rsid w:val="00BC370A"/>
    <w:rsid w:val="00BC3E3B"/>
    <w:rsid w:val="00BC4300"/>
    <w:rsid w:val="00BC4874"/>
    <w:rsid w:val="00BC48E1"/>
    <w:rsid w:val="00BC56A2"/>
    <w:rsid w:val="00BC5705"/>
    <w:rsid w:val="00BC601C"/>
    <w:rsid w:val="00BC689A"/>
    <w:rsid w:val="00BC747B"/>
    <w:rsid w:val="00BC7956"/>
    <w:rsid w:val="00BC7E22"/>
    <w:rsid w:val="00BD02E6"/>
    <w:rsid w:val="00BD065D"/>
    <w:rsid w:val="00BD0DDA"/>
    <w:rsid w:val="00BD1469"/>
    <w:rsid w:val="00BD154F"/>
    <w:rsid w:val="00BD24B6"/>
    <w:rsid w:val="00BD3080"/>
    <w:rsid w:val="00BD3124"/>
    <w:rsid w:val="00BD316A"/>
    <w:rsid w:val="00BD39B6"/>
    <w:rsid w:val="00BD3A94"/>
    <w:rsid w:val="00BD488C"/>
    <w:rsid w:val="00BD4CF5"/>
    <w:rsid w:val="00BD5E56"/>
    <w:rsid w:val="00BD6499"/>
    <w:rsid w:val="00BD64B9"/>
    <w:rsid w:val="00BE0084"/>
    <w:rsid w:val="00BE09C7"/>
    <w:rsid w:val="00BE1BBB"/>
    <w:rsid w:val="00BE289D"/>
    <w:rsid w:val="00BE2ACB"/>
    <w:rsid w:val="00BE3013"/>
    <w:rsid w:val="00BE3CB6"/>
    <w:rsid w:val="00BE4035"/>
    <w:rsid w:val="00BE4A58"/>
    <w:rsid w:val="00BE4B70"/>
    <w:rsid w:val="00BE4BB0"/>
    <w:rsid w:val="00BE5120"/>
    <w:rsid w:val="00BE5756"/>
    <w:rsid w:val="00BE64BF"/>
    <w:rsid w:val="00BE6653"/>
    <w:rsid w:val="00BE7833"/>
    <w:rsid w:val="00BF02D4"/>
    <w:rsid w:val="00BF0724"/>
    <w:rsid w:val="00BF1896"/>
    <w:rsid w:val="00BF20CD"/>
    <w:rsid w:val="00BF324E"/>
    <w:rsid w:val="00BF329F"/>
    <w:rsid w:val="00BF4674"/>
    <w:rsid w:val="00BF47B7"/>
    <w:rsid w:val="00BF5020"/>
    <w:rsid w:val="00BF55BA"/>
    <w:rsid w:val="00BF58F2"/>
    <w:rsid w:val="00BF590D"/>
    <w:rsid w:val="00C0234C"/>
    <w:rsid w:val="00C024DF"/>
    <w:rsid w:val="00C028F9"/>
    <w:rsid w:val="00C0308D"/>
    <w:rsid w:val="00C035A7"/>
    <w:rsid w:val="00C0387C"/>
    <w:rsid w:val="00C049A5"/>
    <w:rsid w:val="00C04A2A"/>
    <w:rsid w:val="00C04FA3"/>
    <w:rsid w:val="00C051F1"/>
    <w:rsid w:val="00C05754"/>
    <w:rsid w:val="00C0586E"/>
    <w:rsid w:val="00C06091"/>
    <w:rsid w:val="00C06595"/>
    <w:rsid w:val="00C077A9"/>
    <w:rsid w:val="00C10187"/>
    <w:rsid w:val="00C11612"/>
    <w:rsid w:val="00C11B8C"/>
    <w:rsid w:val="00C12101"/>
    <w:rsid w:val="00C12304"/>
    <w:rsid w:val="00C1230F"/>
    <w:rsid w:val="00C1257A"/>
    <w:rsid w:val="00C1266E"/>
    <w:rsid w:val="00C12EC3"/>
    <w:rsid w:val="00C13495"/>
    <w:rsid w:val="00C13810"/>
    <w:rsid w:val="00C13934"/>
    <w:rsid w:val="00C13B21"/>
    <w:rsid w:val="00C14234"/>
    <w:rsid w:val="00C14C9F"/>
    <w:rsid w:val="00C14FC8"/>
    <w:rsid w:val="00C155CC"/>
    <w:rsid w:val="00C15878"/>
    <w:rsid w:val="00C15941"/>
    <w:rsid w:val="00C160D1"/>
    <w:rsid w:val="00C168BD"/>
    <w:rsid w:val="00C16E20"/>
    <w:rsid w:val="00C170CD"/>
    <w:rsid w:val="00C17555"/>
    <w:rsid w:val="00C17B94"/>
    <w:rsid w:val="00C2047B"/>
    <w:rsid w:val="00C20F04"/>
    <w:rsid w:val="00C21063"/>
    <w:rsid w:val="00C21801"/>
    <w:rsid w:val="00C21D64"/>
    <w:rsid w:val="00C223AC"/>
    <w:rsid w:val="00C24016"/>
    <w:rsid w:val="00C2407B"/>
    <w:rsid w:val="00C2541E"/>
    <w:rsid w:val="00C25DB5"/>
    <w:rsid w:val="00C2649C"/>
    <w:rsid w:val="00C26623"/>
    <w:rsid w:val="00C26685"/>
    <w:rsid w:val="00C26C59"/>
    <w:rsid w:val="00C30F87"/>
    <w:rsid w:val="00C31F4D"/>
    <w:rsid w:val="00C34487"/>
    <w:rsid w:val="00C348FF"/>
    <w:rsid w:val="00C34CBD"/>
    <w:rsid w:val="00C34E47"/>
    <w:rsid w:val="00C35B79"/>
    <w:rsid w:val="00C3638C"/>
    <w:rsid w:val="00C36C7C"/>
    <w:rsid w:val="00C370E1"/>
    <w:rsid w:val="00C3796D"/>
    <w:rsid w:val="00C4057F"/>
    <w:rsid w:val="00C40753"/>
    <w:rsid w:val="00C40815"/>
    <w:rsid w:val="00C40B89"/>
    <w:rsid w:val="00C40B90"/>
    <w:rsid w:val="00C413EA"/>
    <w:rsid w:val="00C41BEB"/>
    <w:rsid w:val="00C4248B"/>
    <w:rsid w:val="00C42E64"/>
    <w:rsid w:val="00C43C61"/>
    <w:rsid w:val="00C4475B"/>
    <w:rsid w:val="00C45C64"/>
    <w:rsid w:val="00C46B87"/>
    <w:rsid w:val="00C50040"/>
    <w:rsid w:val="00C50513"/>
    <w:rsid w:val="00C50775"/>
    <w:rsid w:val="00C507A3"/>
    <w:rsid w:val="00C51269"/>
    <w:rsid w:val="00C514D1"/>
    <w:rsid w:val="00C5183A"/>
    <w:rsid w:val="00C521AE"/>
    <w:rsid w:val="00C53901"/>
    <w:rsid w:val="00C53F5B"/>
    <w:rsid w:val="00C54A87"/>
    <w:rsid w:val="00C556DE"/>
    <w:rsid w:val="00C560EC"/>
    <w:rsid w:val="00C569D0"/>
    <w:rsid w:val="00C57615"/>
    <w:rsid w:val="00C57991"/>
    <w:rsid w:val="00C57B3A"/>
    <w:rsid w:val="00C6023F"/>
    <w:rsid w:val="00C60B64"/>
    <w:rsid w:val="00C615B8"/>
    <w:rsid w:val="00C61A12"/>
    <w:rsid w:val="00C62D67"/>
    <w:rsid w:val="00C635D1"/>
    <w:rsid w:val="00C6406B"/>
    <w:rsid w:val="00C652E2"/>
    <w:rsid w:val="00C667D0"/>
    <w:rsid w:val="00C66AD7"/>
    <w:rsid w:val="00C66E3C"/>
    <w:rsid w:val="00C67408"/>
    <w:rsid w:val="00C6770C"/>
    <w:rsid w:val="00C70E36"/>
    <w:rsid w:val="00C716BA"/>
    <w:rsid w:val="00C71759"/>
    <w:rsid w:val="00C71A08"/>
    <w:rsid w:val="00C72168"/>
    <w:rsid w:val="00C72354"/>
    <w:rsid w:val="00C723B1"/>
    <w:rsid w:val="00C72625"/>
    <w:rsid w:val="00C7271D"/>
    <w:rsid w:val="00C72FFA"/>
    <w:rsid w:val="00C73DB4"/>
    <w:rsid w:val="00C74A02"/>
    <w:rsid w:val="00C74CF6"/>
    <w:rsid w:val="00C75A45"/>
    <w:rsid w:val="00C75BCA"/>
    <w:rsid w:val="00C75C66"/>
    <w:rsid w:val="00C75F49"/>
    <w:rsid w:val="00C7719F"/>
    <w:rsid w:val="00C80BBB"/>
    <w:rsid w:val="00C81A2C"/>
    <w:rsid w:val="00C82F2D"/>
    <w:rsid w:val="00C84318"/>
    <w:rsid w:val="00C85F99"/>
    <w:rsid w:val="00C861C8"/>
    <w:rsid w:val="00C87A9E"/>
    <w:rsid w:val="00C87F89"/>
    <w:rsid w:val="00C90E80"/>
    <w:rsid w:val="00C91633"/>
    <w:rsid w:val="00C91903"/>
    <w:rsid w:val="00C91936"/>
    <w:rsid w:val="00C92036"/>
    <w:rsid w:val="00C9245D"/>
    <w:rsid w:val="00C92AFD"/>
    <w:rsid w:val="00C943D6"/>
    <w:rsid w:val="00C94F15"/>
    <w:rsid w:val="00C9509E"/>
    <w:rsid w:val="00C954BD"/>
    <w:rsid w:val="00C95615"/>
    <w:rsid w:val="00C97871"/>
    <w:rsid w:val="00C97CC0"/>
    <w:rsid w:val="00C97D75"/>
    <w:rsid w:val="00CA0261"/>
    <w:rsid w:val="00CA04BA"/>
    <w:rsid w:val="00CA136D"/>
    <w:rsid w:val="00CA147B"/>
    <w:rsid w:val="00CA2400"/>
    <w:rsid w:val="00CA24A1"/>
    <w:rsid w:val="00CA2D7A"/>
    <w:rsid w:val="00CA47F5"/>
    <w:rsid w:val="00CA4B13"/>
    <w:rsid w:val="00CA5368"/>
    <w:rsid w:val="00CA6310"/>
    <w:rsid w:val="00CB0113"/>
    <w:rsid w:val="00CB017D"/>
    <w:rsid w:val="00CB058C"/>
    <w:rsid w:val="00CB14A4"/>
    <w:rsid w:val="00CB26D8"/>
    <w:rsid w:val="00CB30D0"/>
    <w:rsid w:val="00CB33CE"/>
    <w:rsid w:val="00CB3C01"/>
    <w:rsid w:val="00CB3EBC"/>
    <w:rsid w:val="00CB4795"/>
    <w:rsid w:val="00CB4EC9"/>
    <w:rsid w:val="00CB570A"/>
    <w:rsid w:val="00CB679C"/>
    <w:rsid w:val="00CB6A84"/>
    <w:rsid w:val="00CB6A85"/>
    <w:rsid w:val="00CB6C7B"/>
    <w:rsid w:val="00CB7121"/>
    <w:rsid w:val="00CB7364"/>
    <w:rsid w:val="00CB7C4A"/>
    <w:rsid w:val="00CB7ECC"/>
    <w:rsid w:val="00CB7F84"/>
    <w:rsid w:val="00CB7F94"/>
    <w:rsid w:val="00CC062E"/>
    <w:rsid w:val="00CC0B1E"/>
    <w:rsid w:val="00CC1475"/>
    <w:rsid w:val="00CC295C"/>
    <w:rsid w:val="00CC319E"/>
    <w:rsid w:val="00CC340A"/>
    <w:rsid w:val="00CC3435"/>
    <w:rsid w:val="00CC3C72"/>
    <w:rsid w:val="00CC4E3A"/>
    <w:rsid w:val="00CC5AA0"/>
    <w:rsid w:val="00CC75B6"/>
    <w:rsid w:val="00CC779B"/>
    <w:rsid w:val="00CD17D6"/>
    <w:rsid w:val="00CD1F06"/>
    <w:rsid w:val="00CD278E"/>
    <w:rsid w:val="00CD2DD0"/>
    <w:rsid w:val="00CD2E23"/>
    <w:rsid w:val="00CD3776"/>
    <w:rsid w:val="00CD4D65"/>
    <w:rsid w:val="00CD6419"/>
    <w:rsid w:val="00CD648D"/>
    <w:rsid w:val="00CD64E1"/>
    <w:rsid w:val="00CD7616"/>
    <w:rsid w:val="00CD775A"/>
    <w:rsid w:val="00CD78C1"/>
    <w:rsid w:val="00CE01B5"/>
    <w:rsid w:val="00CE021F"/>
    <w:rsid w:val="00CE0A3D"/>
    <w:rsid w:val="00CE0B98"/>
    <w:rsid w:val="00CE1A44"/>
    <w:rsid w:val="00CE2312"/>
    <w:rsid w:val="00CE287E"/>
    <w:rsid w:val="00CE2E92"/>
    <w:rsid w:val="00CE384F"/>
    <w:rsid w:val="00CE3CDF"/>
    <w:rsid w:val="00CE3E07"/>
    <w:rsid w:val="00CE4B29"/>
    <w:rsid w:val="00CE57CF"/>
    <w:rsid w:val="00CF14A0"/>
    <w:rsid w:val="00CF194E"/>
    <w:rsid w:val="00CF19DF"/>
    <w:rsid w:val="00CF1F8D"/>
    <w:rsid w:val="00CF2172"/>
    <w:rsid w:val="00CF2BBB"/>
    <w:rsid w:val="00CF3127"/>
    <w:rsid w:val="00CF4F47"/>
    <w:rsid w:val="00CF5030"/>
    <w:rsid w:val="00D01AD1"/>
    <w:rsid w:val="00D01CEC"/>
    <w:rsid w:val="00D02277"/>
    <w:rsid w:val="00D02BB4"/>
    <w:rsid w:val="00D033C8"/>
    <w:rsid w:val="00D03B43"/>
    <w:rsid w:val="00D03C14"/>
    <w:rsid w:val="00D04952"/>
    <w:rsid w:val="00D04B2D"/>
    <w:rsid w:val="00D058FD"/>
    <w:rsid w:val="00D07169"/>
    <w:rsid w:val="00D071B2"/>
    <w:rsid w:val="00D11EC0"/>
    <w:rsid w:val="00D13294"/>
    <w:rsid w:val="00D13562"/>
    <w:rsid w:val="00D13CB3"/>
    <w:rsid w:val="00D14D12"/>
    <w:rsid w:val="00D16FBA"/>
    <w:rsid w:val="00D20137"/>
    <w:rsid w:val="00D208E6"/>
    <w:rsid w:val="00D21492"/>
    <w:rsid w:val="00D21A55"/>
    <w:rsid w:val="00D23AD0"/>
    <w:rsid w:val="00D23B0A"/>
    <w:rsid w:val="00D24239"/>
    <w:rsid w:val="00D24C26"/>
    <w:rsid w:val="00D255C6"/>
    <w:rsid w:val="00D258DF"/>
    <w:rsid w:val="00D2648C"/>
    <w:rsid w:val="00D27A7E"/>
    <w:rsid w:val="00D30796"/>
    <w:rsid w:val="00D309DD"/>
    <w:rsid w:val="00D31163"/>
    <w:rsid w:val="00D31523"/>
    <w:rsid w:val="00D31D60"/>
    <w:rsid w:val="00D331EC"/>
    <w:rsid w:val="00D3330C"/>
    <w:rsid w:val="00D3349D"/>
    <w:rsid w:val="00D33682"/>
    <w:rsid w:val="00D34598"/>
    <w:rsid w:val="00D3511A"/>
    <w:rsid w:val="00D35F28"/>
    <w:rsid w:val="00D368FF"/>
    <w:rsid w:val="00D37596"/>
    <w:rsid w:val="00D40238"/>
    <w:rsid w:val="00D4325C"/>
    <w:rsid w:val="00D43430"/>
    <w:rsid w:val="00D439C3"/>
    <w:rsid w:val="00D449C6"/>
    <w:rsid w:val="00D44A3B"/>
    <w:rsid w:val="00D451A0"/>
    <w:rsid w:val="00D45C34"/>
    <w:rsid w:val="00D45D16"/>
    <w:rsid w:val="00D4777F"/>
    <w:rsid w:val="00D478D3"/>
    <w:rsid w:val="00D5028D"/>
    <w:rsid w:val="00D5054E"/>
    <w:rsid w:val="00D50B46"/>
    <w:rsid w:val="00D5131D"/>
    <w:rsid w:val="00D52AA5"/>
    <w:rsid w:val="00D535F7"/>
    <w:rsid w:val="00D53E84"/>
    <w:rsid w:val="00D54A0E"/>
    <w:rsid w:val="00D54AF4"/>
    <w:rsid w:val="00D54F82"/>
    <w:rsid w:val="00D5571B"/>
    <w:rsid w:val="00D55828"/>
    <w:rsid w:val="00D55C1D"/>
    <w:rsid w:val="00D55C29"/>
    <w:rsid w:val="00D55CC0"/>
    <w:rsid w:val="00D566F1"/>
    <w:rsid w:val="00D56F33"/>
    <w:rsid w:val="00D57388"/>
    <w:rsid w:val="00D577E0"/>
    <w:rsid w:val="00D57865"/>
    <w:rsid w:val="00D60411"/>
    <w:rsid w:val="00D61863"/>
    <w:rsid w:val="00D61A0D"/>
    <w:rsid w:val="00D63759"/>
    <w:rsid w:val="00D63F45"/>
    <w:rsid w:val="00D6428A"/>
    <w:rsid w:val="00D64E9D"/>
    <w:rsid w:val="00D6532F"/>
    <w:rsid w:val="00D65A11"/>
    <w:rsid w:val="00D65B91"/>
    <w:rsid w:val="00D66CD5"/>
    <w:rsid w:val="00D67145"/>
    <w:rsid w:val="00D6724B"/>
    <w:rsid w:val="00D67372"/>
    <w:rsid w:val="00D67C4D"/>
    <w:rsid w:val="00D70A7A"/>
    <w:rsid w:val="00D71248"/>
    <w:rsid w:val="00D7160F"/>
    <w:rsid w:val="00D7196A"/>
    <w:rsid w:val="00D72C26"/>
    <w:rsid w:val="00D73288"/>
    <w:rsid w:val="00D7371E"/>
    <w:rsid w:val="00D74179"/>
    <w:rsid w:val="00D741DB"/>
    <w:rsid w:val="00D74E88"/>
    <w:rsid w:val="00D75216"/>
    <w:rsid w:val="00D75D33"/>
    <w:rsid w:val="00D75E56"/>
    <w:rsid w:val="00D763AE"/>
    <w:rsid w:val="00D768D0"/>
    <w:rsid w:val="00D778A3"/>
    <w:rsid w:val="00D77919"/>
    <w:rsid w:val="00D8158C"/>
    <w:rsid w:val="00D818BF"/>
    <w:rsid w:val="00D8359E"/>
    <w:rsid w:val="00D857FE"/>
    <w:rsid w:val="00D85DCC"/>
    <w:rsid w:val="00D860FC"/>
    <w:rsid w:val="00D87258"/>
    <w:rsid w:val="00D87458"/>
    <w:rsid w:val="00D87F64"/>
    <w:rsid w:val="00D907F2"/>
    <w:rsid w:val="00D9120E"/>
    <w:rsid w:val="00D927CC"/>
    <w:rsid w:val="00D92947"/>
    <w:rsid w:val="00D92BBF"/>
    <w:rsid w:val="00D92F9E"/>
    <w:rsid w:val="00D933F6"/>
    <w:rsid w:val="00D94010"/>
    <w:rsid w:val="00D943E4"/>
    <w:rsid w:val="00D94417"/>
    <w:rsid w:val="00D948C4"/>
    <w:rsid w:val="00D94E85"/>
    <w:rsid w:val="00D955E0"/>
    <w:rsid w:val="00D96531"/>
    <w:rsid w:val="00DA00A6"/>
    <w:rsid w:val="00DA1FF7"/>
    <w:rsid w:val="00DA26B3"/>
    <w:rsid w:val="00DA2FCF"/>
    <w:rsid w:val="00DA30F8"/>
    <w:rsid w:val="00DA465F"/>
    <w:rsid w:val="00DA5095"/>
    <w:rsid w:val="00DA518C"/>
    <w:rsid w:val="00DA5B16"/>
    <w:rsid w:val="00DA77DE"/>
    <w:rsid w:val="00DB1B4D"/>
    <w:rsid w:val="00DB2AEF"/>
    <w:rsid w:val="00DB2B51"/>
    <w:rsid w:val="00DB2BF3"/>
    <w:rsid w:val="00DB3E16"/>
    <w:rsid w:val="00DB47A5"/>
    <w:rsid w:val="00DB4E45"/>
    <w:rsid w:val="00DB58A9"/>
    <w:rsid w:val="00DB5F5B"/>
    <w:rsid w:val="00DB5FF6"/>
    <w:rsid w:val="00DB72D7"/>
    <w:rsid w:val="00DB7CED"/>
    <w:rsid w:val="00DC09FC"/>
    <w:rsid w:val="00DC0C7B"/>
    <w:rsid w:val="00DC385E"/>
    <w:rsid w:val="00DC3A87"/>
    <w:rsid w:val="00DC4145"/>
    <w:rsid w:val="00DC55BE"/>
    <w:rsid w:val="00DC5690"/>
    <w:rsid w:val="00DC593A"/>
    <w:rsid w:val="00DD0923"/>
    <w:rsid w:val="00DD0B51"/>
    <w:rsid w:val="00DD0BE6"/>
    <w:rsid w:val="00DD1707"/>
    <w:rsid w:val="00DD1C59"/>
    <w:rsid w:val="00DD20E1"/>
    <w:rsid w:val="00DD2B63"/>
    <w:rsid w:val="00DD3446"/>
    <w:rsid w:val="00DD3467"/>
    <w:rsid w:val="00DD45B5"/>
    <w:rsid w:val="00DD474F"/>
    <w:rsid w:val="00DD4A1A"/>
    <w:rsid w:val="00DD52FC"/>
    <w:rsid w:val="00DD5C3A"/>
    <w:rsid w:val="00DD674D"/>
    <w:rsid w:val="00DD701C"/>
    <w:rsid w:val="00DD7319"/>
    <w:rsid w:val="00DE063E"/>
    <w:rsid w:val="00DE0CC3"/>
    <w:rsid w:val="00DE1065"/>
    <w:rsid w:val="00DE11EE"/>
    <w:rsid w:val="00DE14FC"/>
    <w:rsid w:val="00DE3136"/>
    <w:rsid w:val="00DE39F4"/>
    <w:rsid w:val="00DE3A27"/>
    <w:rsid w:val="00DE3C4E"/>
    <w:rsid w:val="00DE4810"/>
    <w:rsid w:val="00DE587D"/>
    <w:rsid w:val="00DE6805"/>
    <w:rsid w:val="00DE76BD"/>
    <w:rsid w:val="00DE7807"/>
    <w:rsid w:val="00DF0D0A"/>
    <w:rsid w:val="00DF1FB9"/>
    <w:rsid w:val="00DF2469"/>
    <w:rsid w:val="00DF55A9"/>
    <w:rsid w:val="00DF58E5"/>
    <w:rsid w:val="00DF6E4E"/>
    <w:rsid w:val="00DF7689"/>
    <w:rsid w:val="00DF79E1"/>
    <w:rsid w:val="00E00012"/>
    <w:rsid w:val="00E000D0"/>
    <w:rsid w:val="00E00A55"/>
    <w:rsid w:val="00E00F2E"/>
    <w:rsid w:val="00E01413"/>
    <w:rsid w:val="00E01525"/>
    <w:rsid w:val="00E0186E"/>
    <w:rsid w:val="00E01D50"/>
    <w:rsid w:val="00E01FE1"/>
    <w:rsid w:val="00E024B2"/>
    <w:rsid w:val="00E0258D"/>
    <w:rsid w:val="00E03063"/>
    <w:rsid w:val="00E030F0"/>
    <w:rsid w:val="00E04E95"/>
    <w:rsid w:val="00E057EA"/>
    <w:rsid w:val="00E06710"/>
    <w:rsid w:val="00E07AA2"/>
    <w:rsid w:val="00E1015B"/>
    <w:rsid w:val="00E106AE"/>
    <w:rsid w:val="00E10723"/>
    <w:rsid w:val="00E11A5C"/>
    <w:rsid w:val="00E11DE7"/>
    <w:rsid w:val="00E11F44"/>
    <w:rsid w:val="00E1223A"/>
    <w:rsid w:val="00E122A9"/>
    <w:rsid w:val="00E12ABE"/>
    <w:rsid w:val="00E1415F"/>
    <w:rsid w:val="00E15425"/>
    <w:rsid w:val="00E15683"/>
    <w:rsid w:val="00E1603D"/>
    <w:rsid w:val="00E16242"/>
    <w:rsid w:val="00E1784D"/>
    <w:rsid w:val="00E17B1A"/>
    <w:rsid w:val="00E20E02"/>
    <w:rsid w:val="00E20EBE"/>
    <w:rsid w:val="00E2114E"/>
    <w:rsid w:val="00E21AF7"/>
    <w:rsid w:val="00E2282E"/>
    <w:rsid w:val="00E229C1"/>
    <w:rsid w:val="00E22C09"/>
    <w:rsid w:val="00E239E9"/>
    <w:rsid w:val="00E25D86"/>
    <w:rsid w:val="00E25F85"/>
    <w:rsid w:val="00E261D0"/>
    <w:rsid w:val="00E26A36"/>
    <w:rsid w:val="00E27249"/>
    <w:rsid w:val="00E27B44"/>
    <w:rsid w:val="00E30003"/>
    <w:rsid w:val="00E30F41"/>
    <w:rsid w:val="00E313CE"/>
    <w:rsid w:val="00E31F09"/>
    <w:rsid w:val="00E320DB"/>
    <w:rsid w:val="00E32733"/>
    <w:rsid w:val="00E331D5"/>
    <w:rsid w:val="00E33AB2"/>
    <w:rsid w:val="00E33E69"/>
    <w:rsid w:val="00E3497F"/>
    <w:rsid w:val="00E34E6A"/>
    <w:rsid w:val="00E35448"/>
    <w:rsid w:val="00E35F0A"/>
    <w:rsid w:val="00E3663E"/>
    <w:rsid w:val="00E36D49"/>
    <w:rsid w:val="00E36E14"/>
    <w:rsid w:val="00E37AA8"/>
    <w:rsid w:val="00E408E9"/>
    <w:rsid w:val="00E41390"/>
    <w:rsid w:val="00E418F1"/>
    <w:rsid w:val="00E420E4"/>
    <w:rsid w:val="00E4238A"/>
    <w:rsid w:val="00E440A1"/>
    <w:rsid w:val="00E4452C"/>
    <w:rsid w:val="00E447F8"/>
    <w:rsid w:val="00E44935"/>
    <w:rsid w:val="00E4579A"/>
    <w:rsid w:val="00E46E0B"/>
    <w:rsid w:val="00E478DA"/>
    <w:rsid w:val="00E501F1"/>
    <w:rsid w:val="00E5076A"/>
    <w:rsid w:val="00E50E1F"/>
    <w:rsid w:val="00E528AD"/>
    <w:rsid w:val="00E52A22"/>
    <w:rsid w:val="00E5356C"/>
    <w:rsid w:val="00E53914"/>
    <w:rsid w:val="00E53DFD"/>
    <w:rsid w:val="00E54E3A"/>
    <w:rsid w:val="00E5655F"/>
    <w:rsid w:val="00E5696B"/>
    <w:rsid w:val="00E60146"/>
    <w:rsid w:val="00E60221"/>
    <w:rsid w:val="00E6098E"/>
    <w:rsid w:val="00E60A5A"/>
    <w:rsid w:val="00E61468"/>
    <w:rsid w:val="00E61780"/>
    <w:rsid w:val="00E62142"/>
    <w:rsid w:val="00E62648"/>
    <w:rsid w:val="00E637A7"/>
    <w:rsid w:val="00E661DB"/>
    <w:rsid w:val="00E66C88"/>
    <w:rsid w:val="00E71086"/>
    <w:rsid w:val="00E7391F"/>
    <w:rsid w:val="00E73A3A"/>
    <w:rsid w:val="00E73D5F"/>
    <w:rsid w:val="00E745BB"/>
    <w:rsid w:val="00E746BE"/>
    <w:rsid w:val="00E77E32"/>
    <w:rsid w:val="00E8173D"/>
    <w:rsid w:val="00E8280A"/>
    <w:rsid w:val="00E834BF"/>
    <w:rsid w:val="00E83987"/>
    <w:rsid w:val="00E839FC"/>
    <w:rsid w:val="00E83D04"/>
    <w:rsid w:val="00E85BCA"/>
    <w:rsid w:val="00E85EB1"/>
    <w:rsid w:val="00E87280"/>
    <w:rsid w:val="00E874EC"/>
    <w:rsid w:val="00E87BD5"/>
    <w:rsid w:val="00E87C5D"/>
    <w:rsid w:val="00E87E16"/>
    <w:rsid w:val="00E90801"/>
    <w:rsid w:val="00E90B12"/>
    <w:rsid w:val="00E93B8E"/>
    <w:rsid w:val="00E93F1C"/>
    <w:rsid w:val="00E9563D"/>
    <w:rsid w:val="00E95DDA"/>
    <w:rsid w:val="00E9609B"/>
    <w:rsid w:val="00E96DEE"/>
    <w:rsid w:val="00E972A2"/>
    <w:rsid w:val="00E97990"/>
    <w:rsid w:val="00E97E36"/>
    <w:rsid w:val="00EA03AA"/>
    <w:rsid w:val="00EA108A"/>
    <w:rsid w:val="00EA12EA"/>
    <w:rsid w:val="00EA141E"/>
    <w:rsid w:val="00EA1B41"/>
    <w:rsid w:val="00EA1DF6"/>
    <w:rsid w:val="00EA2B29"/>
    <w:rsid w:val="00EA2C90"/>
    <w:rsid w:val="00EA3235"/>
    <w:rsid w:val="00EA35FC"/>
    <w:rsid w:val="00EA38A2"/>
    <w:rsid w:val="00EA3942"/>
    <w:rsid w:val="00EA3AF8"/>
    <w:rsid w:val="00EA411B"/>
    <w:rsid w:val="00EA5DE5"/>
    <w:rsid w:val="00EA71D3"/>
    <w:rsid w:val="00EB1A14"/>
    <w:rsid w:val="00EB2610"/>
    <w:rsid w:val="00EB2D92"/>
    <w:rsid w:val="00EB341F"/>
    <w:rsid w:val="00EB5C2A"/>
    <w:rsid w:val="00EB686E"/>
    <w:rsid w:val="00EB6D6E"/>
    <w:rsid w:val="00EC27C8"/>
    <w:rsid w:val="00EC2BE5"/>
    <w:rsid w:val="00EC2CC6"/>
    <w:rsid w:val="00EC2CCA"/>
    <w:rsid w:val="00EC2CFB"/>
    <w:rsid w:val="00EC2D31"/>
    <w:rsid w:val="00EC2E71"/>
    <w:rsid w:val="00EC2EE1"/>
    <w:rsid w:val="00EC2FD5"/>
    <w:rsid w:val="00EC4312"/>
    <w:rsid w:val="00EC4D53"/>
    <w:rsid w:val="00EC5347"/>
    <w:rsid w:val="00EC538F"/>
    <w:rsid w:val="00EC57DB"/>
    <w:rsid w:val="00EC57E7"/>
    <w:rsid w:val="00EC5E5F"/>
    <w:rsid w:val="00EC77D1"/>
    <w:rsid w:val="00EC7835"/>
    <w:rsid w:val="00ED05EB"/>
    <w:rsid w:val="00ED0932"/>
    <w:rsid w:val="00ED0D53"/>
    <w:rsid w:val="00ED0ED2"/>
    <w:rsid w:val="00ED3605"/>
    <w:rsid w:val="00ED3CE8"/>
    <w:rsid w:val="00ED47E4"/>
    <w:rsid w:val="00ED58AD"/>
    <w:rsid w:val="00ED5E13"/>
    <w:rsid w:val="00ED5E90"/>
    <w:rsid w:val="00ED5F4F"/>
    <w:rsid w:val="00ED5FF8"/>
    <w:rsid w:val="00ED71AE"/>
    <w:rsid w:val="00ED73A4"/>
    <w:rsid w:val="00ED777C"/>
    <w:rsid w:val="00ED7A99"/>
    <w:rsid w:val="00EE21A6"/>
    <w:rsid w:val="00EE22A7"/>
    <w:rsid w:val="00EE2ADA"/>
    <w:rsid w:val="00EE3627"/>
    <w:rsid w:val="00EE3B72"/>
    <w:rsid w:val="00EE4D2B"/>
    <w:rsid w:val="00EE5D97"/>
    <w:rsid w:val="00EE6288"/>
    <w:rsid w:val="00EE66D4"/>
    <w:rsid w:val="00EE6F5D"/>
    <w:rsid w:val="00EE6F95"/>
    <w:rsid w:val="00EE7AD7"/>
    <w:rsid w:val="00EF01CC"/>
    <w:rsid w:val="00EF0280"/>
    <w:rsid w:val="00EF12CC"/>
    <w:rsid w:val="00EF2355"/>
    <w:rsid w:val="00EF274C"/>
    <w:rsid w:val="00EF3011"/>
    <w:rsid w:val="00EF3BE1"/>
    <w:rsid w:val="00EF4351"/>
    <w:rsid w:val="00EF4927"/>
    <w:rsid w:val="00EF5363"/>
    <w:rsid w:val="00EF56D8"/>
    <w:rsid w:val="00EF59F2"/>
    <w:rsid w:val="00EF7B3E"/>
    <w:rsid w:val="00F0069B"/>
    <w:rsid w:val="00F01D44"/>
    <w:rsid w:val="00F020DB"/>
    <w:rsid w:val="00F023A4"/>
    <w:rsid w:val="00F02B95"/>
    <w:rsid w:val="00F02BF0"/>
    <w:rsid w:val="00F03C49"/>
    <w:rsid w:val="00F0432C"/>
    <w:rsid w:val="00F04516"/>
    <w:rsid w:val="00F050A8"/>
    <w:rsid w:val="00F0539E"/>
    <w:rsid w:val="00F06045"/>
    <w:rsid w:val="00F06A5E"/>
    <w:rsid w:val="00F07A6D"/>
    <w:rsid w:val="00F104ED"/>
    <w:rsid w:val="00F1097C"/>
    <w:rsid w:val="00F121F0"/>
    <w:rsid w:val="00F12F63"/>
    <w:rsid w:val="00F133B8"/>
    <w:rsid w:val="00F137FE"/>
    <w:rsid w:val="00F13971"/>
    <w:rsid w:val="00F1481D"/>
    <w:rsid w:val="00F14970"/>
    <w:rsid w:val="00F14FC4"/>
    <w:rsid w:val="00F1511E"/>
    <w:rsid w:val="00F15A5D"/>
    <w:rsid w:val="00F15FED"/>
    <w:rsid w:val="00F16108"/>
    <w:rsid w:val="00F16D91"/>
    <w:rsid w:val="00F1757A"/>
    <w:rsid w:val="00F17FA9"/>
    <w:rsid w:val="00F201FD"/>
    <w:rsid w:val="00F2227C"/>
    <w:rsid w:val="00F22C09"/>
    <w:rsid w:val="00F23548"/>
    <w:rsid w:val="00F23561"/>
    <w:rsid w:val="00F2359A"/>
    <w:rsid w:val="00F2404C"/>
    <w:rsid w:val="00F2429E"/>
    <w:rsid w:val="00F25545"/>
    <w:rsid w:val="00F258F5"/>
    <w:rsid w:val="00F25BE1"/>
    <w:rsid w:val="00F25FBE"/>
    <w:rsid w:val="00F265B9"/>
    <w:rsid w:val="00F266AA"/>
    <w:rsid w:val="00F26A2B"/>
    <w:rsid w:val="00F27FFD"/>
    <w:rsid w:val="00F3079C"/>
    <w:rsid w:val="00F3189A"/>
    <w:rsid w:val="00F31928"/>
    <w:rsid w:val="00F31CE9"/>
    <w:rsid w:val="00F31E95"/>
    <w:rsid w:val="00F3223F"/>
    <w:rsid w:val="00F324F2"/>
    <w:rsid w:val="00F337E4"/>
    <w:rsid w:val="00F33B9C"/>
    <w:rsid w:val="00F340F6"/>
    <w:rsid w:val="00F3424C"/>
    <w:rsid w:val="00F34464"/>
    <w:rsid w:val="00F363FF"/>
    <w:rsid w:val="00F36D9A"/>
    <w:rsid w:val="00F37037"/>
    <w:rsid w:val="00F3771F"/>
    <w:rsid w:val="00F37BB9"/>
    <w:rsid w:val="00F40516"/>
    <w:rsid w:val="00F40B80"/>
    <w:rsid w:val="00F41B49"/>
    <w:rsid w:val="00F426E2"/>
    <w:rsid w:val="00F42726"/>
    <w:rsid w:val="00F42BD9"/>
    <w:rsid w:val="00F42C78"/>
    <w:rsid w:val="00F43C32"/>
    <w:rsid w:val="00F453B6"/>
    <w:rsid w:val="00F45854"/>
    <w:rsid w:val="00F468F2"/>
    <w:rsid w:val="00F46D54"/>
    <w:rsid w:val="00F47291"/>
    <w:rsid w:val="00F50DC4"/>
    <w:rsid w:val="00F524C0"/>
    <w:rsid w:val="00F527F7"/>
    <w:rsid w:val="00F529A8"/>
    <w:rsid w:val="00F52A72"/>
    <w:rsid w:val="00F53548"/>
    <w:rsid w:val="00F5470C"/>
    <w:rsid w:val="00F5528F"/>
    <w:rsid w:val="00F569C2"/>
    <w:rsid w:val="00F57C62"/>
    <w:rsid w:val="00F6000C"/>
    <w:rsid w:val="00F61269"/>
    <w:rsid w:val="00F62DFC"/>
    <w:rsid w:val="00F6362F"/>
    <w:rsid w:val="00F6381A"/>
    <w:rsid w:val="00F658BB"/>
    <w:rsid w:val="00F6598F"/>
    <w:rsid w:val="00F66292"/>
    <w:rsid w:val="00F6694F"/>
    <w:rsid w:val="00F67026"/>
    <w:rsid w:val="00F673DD"/>
    <w:rsid w:val="00F67510"/>
    <w:rsid w:val="00F702ED"/>
    <w:rsid w:val="00F717ED"/>
    <w:rsid w:val="00F72ED6"/>
    <w:rsid w:val="00F72EDE"/>
    <w:rsid w:val="00F7494B"/>
    <w:rsid w:val="00F74B41"/>
    <w:rsid w:val="00F75BD6"/>
    <w:rsid w:val="00F76995"/>
    <w:rsid w:val="00F76B38"/>
    <w:rsid w:val="00F76DA5"/>
    <w:rsid w:val="00F76F1C"/>
    <w:rsid w:val="00F770EF"/>
    <w:rsid w:val="00F775E1"/>
    <w:rsid w:val="00F7791F"/>
    <w:rsid w:val="00F77BDA"/>
    <w:rsid w:val="00F77EC2"/>
    <w:rsid w:val="00F808A8"/>
    <w:rsid w:val="00F80AD4"/>
    <w:rsid w:val="00F80AD6"/>
    <w:rsid w:val="00F8132F"/>
    <w:rsid w:val="00F81687"/>
    <w:rsid w:val="00F82060"/>
    <w:rsid w:val="00F8309E"/>
    <w:rsid w:val="00F8411A"/>
    <w:rsid w:val="00F84289"/>
    <w:rsid w:val="00F86A6A"/>
    <w:rsid w:val="00F86F6D"/>
    <w:rsid w:val="00F8722D"/>
    <w:rsid w:val="00F87F31"/>
    <w:rsid w:val="00F902E6"/>
    <w:rsid w:val="00F90C98"/>
    <w:rsid w:val="00F91099"/>
    <w:rsid w:val="00F9110C"/>
    <w:rsid w:val="00F9196A"/>
    <w:rsid w:val="00F92ACA"/>
    <w:rsid w:val="00F92B73"/>
    <w:rsid w:val="00F92EAB"/>
    <w:rsid w:val="00F930D9"/>
    <w:rsid w:val="00F93EEE"/>
    <w:rsid w:val="00F954CA"/>
    <w:rsid w:val="00F962A4"/>
    <w:rsid w:val="00F963B7"/>
    <w:rsid w:val="00F97BB7"/>
    <w:rsid w:val="00FA26D2"/>
    <w:rsid w:val="00FA2B66"/>
    <w:rsid w:val="00FA2BD7"/>
    <w:rsid w:val="00FA3D7F"/>
    <w:rsid w:val="00FA6AD7"/>
    <w:rsid w:val="00FA6F37"/>
    <w:rsid w:val="00FB004C"/>
    <w:rsid w:val="00FB031C"/>
    <w:rsid w:val="00FB119A"/>
    <w:rsid w:val="00FB1431"/>
    <w:rsid w:val="00FB181F"/>
    <w:rsid w:val="00FB1918"/>
    <w:rsid w:val="00FB1AE8"/>
    <w:rsid w:val="00FB24C0"/>
    <w:rsid w:val="00FB286E"/>
    <w:rsid w:val="00FB4E1F"/>
    <w:rsid w:val="00FB526E"/>
    <w:rsid w:val="00FB5407"/>
    <w:rsid w:val="00FB6025"/>
    <w:rsid w:val="00FC0EFA"/>
    <w:rsid w:val="00FC1327"/>
    <w:rsid w:val="00FC1D4B"/>
    <w:rsid w:val="00FC201C"/>
    <w:rsid w:val="00FC3AE8"/>
    <w:rsid w:val="00FC3FF7"/>
    <w:rsid w:val="00FC59A3"/>
    <w:rsid w:val="00FC7615"/>
    <w:rsid w:val="00FD058E"/>
    <w:rsid w:val="00FD0E60"/>
    <w:rsid w:val="00FD158C"/>
    <w:rsid w:val="00FD176B"/>
    <w:rsid w:val="00FD1C93"/>
    <w:rsid w:val="00FD1D82"/>
    <w:rsid w:val="00FD1EE8"/>
    <w:rsid w:val="00FD2102"/>
    <w:rsid w:val="00FD2718"/>
    <w:rsid w:val="00FD45D6"/>
    <w:rsid w:val="00FD4CF5"/>
    <w:rsid w:val="00FD7771"/>
    <w:rsid w:val="00FE0294"/>
    <w:rsid w:val="00FE072D"/>
    <w:rsid w:val="00FE18B4"/>
    <w:rsid w:val="00FE21C8"/>
    <w:rsid w:val="00FE21FB"/>
    <w:rsid w:val="00FE22E6"/>
    <w:rsid w:val="00FE2F0E"/>
    <w:rsid w:val="00FE2F48"/>
    <w:rsid w:val="00FE37C2"/>
    <w:rsid w:val="00FE4C61"/>
    <w:rsid w:val="00FE50E3"/>
    <w:rsid w:val="00FE5276"/>
    <w:rsid w:val="00FE66FB"/>
    <w:rsid w:val="00FE697E"/>
    <w:rsid w:val="00FE69F1"/>
    <w:rsid w:val="00FE7783"/>
    <w:rsid w:val="00FE7884"/>
    <w:rsid w:val="00FF0155"/>
    <w:rsid w:val="00FF1C95"/>
    <w:rsid w:val="00FF3DBD"/>
    <w:rsid w:val="00FF4204"/>
    <w:rsid w:val="00FF4314"/>
    <w:rsid w:val="00FF456E"/>
    <w:rsid w:val="00FF4C9D"/>
    <w:rsid w:val="00FF4CCB"/>
    <w:rsid w:val="00FF7533"/>
    <w:rsid w:val="01F272B6"/>
    <w:rsid w:val="0289762D"/>
    <w:rsid w:val="02A27296"/>
    <w:rsid w:val="03DE6244"/>
    <w:rsid w:val="074D5E2F"/>
    <w:rsid w:val="084836D3"/>
    <w:rsid w:val="096A17F7"/>
    <w:rsid w:val="0AC0301A"/>
    <w:rsid w:val="0B0361AB"/>
    <w:rsid w:val="0BF8217D"/>
    <w:rsid w:val="0C297726"/>
    <w:rsid w:val="0C690A63"/>
    <w:rsid w:val="0D1D4905"/>
    <w:rsid w:val="0D643E7F"/>
    <w:rsid w:val="0F6C36F3"/>
    <w:rsid w:val="11F67115"/>
    <w:rsid w:val="163624CA"/>
    <w:rsid w:val="165B18A2"/>
    <w:rsid w:val="1877726D"/>
    <w:rsid w:val="1AAE5B85"/>
    <w:rsid w:val="1D8D1668"/>
    <w:rsid w:val="1DB1537E"/>
    <w:rsid w:val="21E824E4"/>
    <w:rsid w:val="250E640E"/>
    <w:rsid w:val="26B66F36"/>
    <w:rsid w:val="27915B24"/>
    <w:rsid w:val="27FF1350"/>
    <w:rsid w:val="2A1439FA"/>
    <w:rsid w:val="2B7360C6"/>
    <w:rsid w:val="2D07293B"/>
    <w:rsid w:val="2E6328CA"/>
    <w:rsid w:val="2EA410BA"/>
    <w:rsid w:val="309E566A"/>
    <w:rsid w:val="3318178D"/>
    <w:rsid w:val="332D23B2"/>
    <w:rsid w:val="338212C1"/>
    <w:rsid w:val="347C04A8"/>
    <w:rsid w:val="34BC536F"/>
    <w:rsid w:val="350C157A"/>
    <w:rsid w:val="35F23C22"/>
    <w:rsid w:val="36DF080E"/>
    <w:rsid w:val="3A57140D"/>
    <w:rsid w:val="3A824E0D"/>
    <w:rsid w:val="3BCC3508"/>
    <w:rsid w:val="3E860D05"/>
    <w:rsid w:val="47377CE5"/>
    <w:rsid w:val="49A8035A"/>
    <w:rsid w:val="50C90356"/>
    <w:rsid w:val="52673EA9"/>
    <w:rsid w:val="547326E1"/>
    <w:rsid w:val="55D674BF"/>
    <w:rsid w:val="571B3B14"/>
    <w:rsid w:val="58A855AA"/>
    <w:rsid w:val="59D0417D"/>
    <w:rsid w:val="59EB59D4"/>
    <w:rsid w:val="5A131F0A"/>
    <w:rsid w:val="5BFA4C69"/>
    <w:rsid w:val="5C53020E"/>
    <w:rsid w:val="5E915F2B"/>
    <w:rsid w:val="621C3F49"/>
    <w:rsid w:val="624578D4"/>
    <w:rsid w:val="63900EBC"/>
    <w:rsid w:val="63CF256B"/>
    <w:rsid w:val="650A4535"/>
    <w:rsid w:val="652143F5"/>
    <w:rsid w:val="6BF77346"/>
    <w:rsid w:val="6DD512DF"/>
    <w:rsid w:val="73AD6E76"/>
    <w:rsid w:val="7741155B"/>
    <w:rsid w:val="79AC38ED"/>
    <w:rsid w:val="79C84510"/>
    <w:rsid w:val="7AB62624"/>
    <w:rsid w:val="7EE618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nhideWhenUsed="0" w:uiPriority="0" w:semiHidden="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iPriority="0" w:name="toc 2"/>
    <w:lsdException w:uiPriority="0" w:name="toc 3"/>
    <w:lsdException w:uiPriority="0" w:name="toc 4"/>
    <w:lsdException w:uiPriority="0" w:name="toc 5"/>
    <w:lsdException w:uiPriority="0" w:name="toc 6"/>
    <w:lsdException w:uiPriority="0" w:name="toc 7"/>
    <w:lsdException w:qFormat="1" w:unhideWhenUsed="0" w:uiPriority="0" w:semiHidden="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hd w:val="clear" w:color="auto" w:fill="FFFFFF"/>
      <w:tabs>
        <w:tab w:val="left" w:pos="567"/>
      </w:tabs>
      <w:spacing w:before="0" w:after="0" w:line="300" w:lineRule="atLeast"/>
      <w:jc w:val="center"/>
      <w:outlineLvl w:val="0"/>
    </w:pPr>
    <w:rPr>
      <w:rFonts w:eastAsia="黑体"/>
      <w:bCs w:val="0"/>
      <w:kern w:val="0"/>
      <w:sz w:val="36"/>
    </w:rPr>
  </w:style>
  <w:style w:type="paragraph" w:styleId="4">
    <w:name w:val="heading 2"/>
    <w:basedOn w:val="1"/>
    <w:next w:val="1"/>
    <w:link w:val="52"/>
    <w:qFormat/>
    <w:uiPriority w:val="99"/>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link w:val="64"/>
    <w:qFormat/>
    <w:uiPriority w:val="0"/>
    <w:pPr>
      <w:keepNext/>
      <w:keepLines/>
      <w:spacing w:before="280" w:after="290" w:line="376" w:lineRule="auto"/>
      <w:outlineLvl w:val="3"/>
    </w:pPr>
    <w:rPr>
      <w:rFonts w:ascii="Arial" w:hAnsi="Arial" w:eastAsia="黑体"/>
      <w:b/>
      <w:bCs/>
      <w:sz w:val="28"/>
      <w:szCs w:val="28"/>
    </w:rPr>
  </w:style>
  <w:style w:type="paragraph" w:styleId="6">
    <w:name w:val="heading 8"/>
    <w:basedOn w:val="1"/>
    <w:next w:val="1"/>
    <w:link w:val="61"/>
    <w:qFormat/>
    <w:uiPriority w:val="0"/>
    <w:pPr>
      <w:keepNext/>
      <w:keepLines/>
      <w:spacing w:before="240" w:after="64" w:line="320" w:lineRule="auto"/>
      <w:outlineLvl w:val="7"/>
    </w:pPr>
    <w:rPr>
      <w:rFonts w:ascii="Cambria" w:hAnsi="Cambria"/>
      <w:sz w:val="24"/>
    </w:rPr>
  </w:style>
  <w:style w:type="character" w:default="1" w:styleId="26">
    <w:name w:val="Default Paragraph Font"/>
    <w:semiHidden/>
    <w:unhideWhenUsed/>
    <w:qFormat/>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7">
    <w:name w:val="Normal Indent"/>
    <w:basedOn w:val="1"/>
    <w:link w:val="43"/>
    <w:qFormat/>
    <w:uiPriority w:val="0"/>
    <w:pPr>
      <w:ind w:firstLine="420" w:firstLineChars="200"/>
    </w:pPr>
  </w:style>
  <w:style w:type="paragraph" w:styleId="8">
    <w:name w:val="Document Map"/>
    <w:basedOn w:val="1"/>
    <w:semiHidden/>
    <w:qFormat/>
    <w:uiPriority w:val="0"/>
    <w:pPr>
      <w:shd w:val="clear" w:color="auto" w:fill="000080"/>
    </w:pPr>
  </w:style>
  <w:style w:type="paragraph" w:styleId="9">
    <w:name w:val="annotation text"/>
    <w:basedOn w:val="1"/>
    <w:link w:val="67"/>
    <w:semiHidden/>
    <w:qFormat/>
    <w:uiPriority w:val="0"/>
    <w:pPr>
      <w:jc w:val="left"/>
    </w:pPr>
  </w:style>
  <w:style w:type="paragraph" w:styleId="10">
    <w:name w:val="Body Text"/>
    <w:basedOn w:val="1"/>
    <w:link w:val="53"/>
    <w:qFormat/>
    <w:uiPriority w:val="0"/>
    <w:pPr>
      <w:spacing w:after="120"/>
    </w:pPr>
  </w:style>
  <w:style w:type="paragraph" w:styleId="11">
    <w:name w:val="Body Text Indent"/>
    <w:basedOn w:val="1"/>
    <w:link w:val="54"/>
    <w:qFormat/>
    <w:uiPriority w:val="0"/>
    <w:pPr>
      <w:spacing w:after="120"/>
      <w:ind w:left="420" w:leftChars="200"/>
    </w:pPr>
  </w:style>
  <w:style w:type="paragraph" w:styleId="12">
    <w:name w:val="Plain Text"/>
    <w:basedOn w:val="1"/>
    <w:link w:val="39"/>
    <w:qFormat/>
    <w:uiPriority w:val="0"/>
    <w:rPr>
      <w:rFonts w:ascii="宋体" w:hAnsi="Courier New"/>
      <w:szCs w:val="20"/>
    </w:rPr>
  </w:style>
  <w:style w:type="paragraph" w:styleId="13">
    <w:name w:val="toc 8"/>
    <w:basedOn w:val="1"/>
    <w:next w:val="1"/>
    <w:qFormat/>
    <w:uiPriority w:val="0"/>
    <w:pPr>
      <w:ind w:left="2940" w:leftChars="1400"/>
    </w:pPr>
  </w:style>
  <w:style w:type="paragraph" w:styleId="14">
    <w:name w:val="Balloon Text"/>
    <w:basedOn w:val="1"/>
    <w:semiHidden/>
    <w:uiPriority w:val="0"/>
    <w:rPr>
      <w:sz w:val="18"/>
      <w:szCs w:val="18"/>
    </w:rPr>
  </w:style>
  <w:style w:type="paragraph" w:styleId="15">
    <w:name w:val="footer"/>
    <w:basedOn w:val="1"/>
    <w:link w:val="58"/>
    <w:qFormat/>
    <w:uiPriority w:val="0"/>
    <w:pPr>
      <w:tabs>
        <w:tab w:val="center" w:pos="4153"/>
        <w:tab w:val="right" w:pos="8306"/>
      </w:tabs>
      <w:snapToGrid w:val="0"/>
      <w:jc w:val="left"/>
    </w:pPr>
    <w:rPr>
      <w:sz w:val="18"/>
      <w:szCs w:val="18"/>
    </w:rPr>
  </w:style>
  <w:style w:type="paragraph" w:styleId="16">
    <w:name w:val="header"/>
    <w:basedOn w:val="1"/>
    <w:link w:val="63"/>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semiHidden/>
    <w:uiPriority w:val="0"/>
    <w:pPr>
      <w:spacing w:before="120" w:after="120"/>
      <w:jc w:val="left"/>
    </w:pPr>
    <w:rPr>
      <w:b/>
      <w:bCs/>
      <w:caps/>
    </w:rPr>
  </w:style>
  <w:style w:type="paragraph" w:styleId="18">
    <w:name w:val="Body Text Indent 3"/>
    <w:basedOn w:val="1"/>
    <w:link w:val="57"/>
    <w:qFormat/>
    <w:uiPriority w:val="0"/>
    <w:pPr>
      <w:spacing w:after="120"/>
      <w:ind w:left="420" w:leftChars="200"/>
    </w:pPr>
    <w:rPr>
      <w:sz w:val="16"/>
      <w:szCs w:val="16"/>
    </w:rPr>
  </w:style>
  <w:style w:type="paragraph" w:styleId="1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0">
    <w:name w:val="Normal (Web)"/>
    <w:basedOn w:val="1"/>
    <w:qFormat/>
    <w:uiPriority w:val="99"/>
    <w:pPr>
      <w:widowControl/>
      <w:spacing w:before="100" w:beforeAutospacing="1" w:after="100" w:afterAutospacing="1"/>
      <w:jc w:val="left"/>
    </w:pPr>
    <w:rPr>
      <w:kern w:val="0"/>
      <w:sz w:val="24"/>
    </w:rPr>
  </w:style>
  <w:style w:type="paragraph" w:styleId="21">
    <w:name w:val="Title"/>
    <w:basedOn w:val="1"/>
    <w:link w:val="59"/>
    <w:qFormat/>
    <w:uiPriority w:val="0"/>
    <w:pPr>
      <w:spacing w:before="240" w:after="60"/>
      <w:jc w:val="center"/>
      <w:outlineLvl w:val="0"/>
    </w:pPr>
    <w:rPr>
      <w:rFonts w:ascii="Arial" w:hAnsi="Arial" w:eastAsia="隶书"/>
      <w:b/>
      <w:bCs/>
      <w:sz w:val="32"/>
      <w:szCs w:val="32"/>
    </w:rPr>
  </w:style>
  <w:style w:type="paragraph" w:styleId="22">
    <w:name w:val="annotation subject"/>
    <w:basedOn w:val="9"/>
    <w:next w:val="9"/>
    <w:semiHidden/>
    <w:qFormat/>
    <w:uiPriority w:val="0"/>
    <w:rPr>
      <w:b/>
      <w:bCs/>
    </w:rPr>
  </w:style>
  <w:style w:type="paragraph" w:styleId="23">
    <w:name w:val="Body Text First Indent"/>
    <w:basedOn w:val="10"/>
    <w:link w:val="42"/>
    <w:qFormat/>
    <w:uiPriority w:val="0"/>
    <w:pPr>
      <w:ind w:firstLine="420" w:firstLineChars="100"/>
    </w:pPr>
  </w:style>
  <w:style w:type="table" w:styleId="25">
    <w:name w:val="Table Grid"/>
    <w:basedOn w:val="24"/>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qFormat/>
    <w:uiPriority w:val="0"/>
    <w:rPr>
      <w:b/>
      <w:bCs/>
    </w:rPr>
  </w:style>
  <w:style w:type="character" w:styleId="28">
    <w:name w:val="page number"/>
    <w:basedOn w:val="26"/>
    <w:qFormat/>
    <w:uiPriority w:val="0"/>
  </w:style>
  <w:style w:type="character" w:styleId="29">
    <w:name w:val="FollowedHyperlink"/>
    <w:qFormat/>
    <w:uiPriority w:val="0"/>
    <w:rPr>
      <w:color w:val="800080"/>
      <w:u w:val="single"/>
    </w:rPr>
  </w:style>
  <w:style w:type="character" w:styleId="30">
    <w:name w:val="Hyperlink"/>
    <w:qFormat/>
    <w:uiPriority w:val="99"/>
    <w:rPr>
      <w:color w:val="0000FF"/>
      <w:u w:val="single"/>
    </w:rPr>
  </w:style>
  <w:style w:type="character" w:styleId="31">
    <w:name w:val="annotation reference"/>
    <w:semiHidden/>
    <w:qFormat/>
    <w:uiPriority w:val="0"/>
    <w:rPr>
      <w:sz w:val="21"/>
      <w:szCs w:val="21"/>
    </w:rPr>
  </w:style>
  <w:style w:type="paragraph" w:customStyle="1" w:styleId="3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3">
    <w:name w:val="样式1 Char Char"/>
    <w:basedOn w:val="1"/>
    <w:next w:val="1"/>
    <w:link w:val="34"/>
    <w:qFormat/>
    <w:uiPriority w:val="0"/>
    <w:pPr>
      <w:spacing w:line="360" w:lineRule="auto"/>
      <w:ind w:firstLine="516" w:firstLineChars="215"/>
    </w:pPr>
    <w:rPr>
      <w:sz w:val="24"/>
      <w:szCs w:val="20"/>
    </w:rPr>
  </w:style>
  <w:style w:type="character" w:customStyle="1" w:styleId="34">
    <w:name w:val="样式1 Char Char Char"/>
    <w:link w:val="33"/>
    <w:qFormat/>
    <w:uiPriority w:val="0"/>
    <w:rPr>
      <w:rFonts w:eastAsia="宋体"/>
      <w:kern w:val="2"/>
      <w:sz w:val="24"/>
      <w:lang w:val="en-US" w:eastAsia="zh-CN" w:bidi="ar-SA"/>
    </w:rPr>
  </w:style>
  <w:style w:type="paragraph" w:customStyle="1" w:styleId="35">
    <w:name w:val="样式1"/>
    <w:basedOn w:val="21"/>
    <w:link w:val="36"/>
    <w:qFormat/>
    <w:uiPriority w:val="0"/>
    <w:pPr>
      <w:spacing w:before="120" w:after="120"/>
    </w:pPr>
    <w:rPr>
      <w:rFonts w:eastAsia="黑体" w:cs="Arial"/>
      <w:b w:val="0"/>
      <w:sz w:val="30"/>
      <w:szCs w:val="21"/>
    </w:rPr>
  </w:style>
  <w:style w:type="character" w:customStyle="1" w:styleId="36">
    <w:name w:val="样式1 Char"/>
    <w:link w:val="35"/>
    <w:qFormat/>
    <w:uiPriority w:val="0"/>
    <w:rPr>
      <w:rFonts w:ascii="Arial" w:hAnsi="Arial" w:eastAsia="黑体" w:cs="Arial"/>
      <w:bCs/>
      <w:kern w:val="2"/>
      <w:sz w:val="30"/>
      <w:szCs w:val="21"/>
      <w:lang w:val="en-US" w:eastAsia="zh-CN" w:bidi="ar-SA"/>
    </w:rPr>
  </w:style>
  <w:style w:type="paragraph" w:customStyle="1" w:styleId="37">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8">
    <w:name w:val="Char"/>
    <w:basedOn w:val="1"/>
    <w:qFormat/>
    <w:uiPriority w:val="0"/>
    <w:pPr>
      <w:widowControl/>
      <w:spacing w:after="160" w:line="360" w:lineRule="auto"/>
      <w:jc w:val="center"/>
    </w:pPr>
    <w:rPr>
      <w:rFonts w:ascii="宋体" w:hAnsi="宋体"/>
      <w:color w:val="0000FF"/>
      <w:kern w:val="0"/>
      <w:sz w:val="52"/>
      <w:szCs w:val="52"/>
    </w:rPr>
  </w:style>
  <w:style w:type="character" w:customStyle="1" w:styleId="39">
    <w:name w:val="纯文本 Char"/>
    <w:link w:val="12"/>
    <w:qFormat/>
    <w:uiPriority w:val="0"/>
    <w:rPr>
      <w:rFonts w:ascii="宋体" w:hAnsi="Courier New" w:eastAsia="宋体"/>
      <w:kern w:val="2"/>
      <w:sz w:val="21"/>
      <w:lang w:val="en-US" w:eastAsia="zh-CN" w:bidi="ar-SA"/>
    </w:rPr>
  </w:style>
  <w:style w:type="paragraph" w:customStyle="1" w:styleId="40">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41">
    <w:name w:val="Char1"/>
    <w:basedOn w:val="1"/>
    <w:qFormat/>
    <w:uiPriority w:val="0"/>
    <w:rPr>
      <w:rFonts w:ascii="仿宋_GB2312" w:eastAsia="仿宋_GB2312"/>
      <w:b/>
      <w:sz w:val="32"/>
      <w:szCs w:val="32"/>
    </w:rPr>
  </w:style>
  <w:style w:type="character" w:customStyle="1" w:styleId="42">
    <w:name w:val="正文首行缩进 Char"/>
    <w:link w:val="23"/>
    <w:qFormat/>
    <w:uiPriority w:val="0"/>
    <w:rPr>
      <w:rFonts w:eastAsia="宋体"/>
      <w:kern w:val="2"/>
      <w:sz w:val="21"/>
      <w:szCs w:val="24"/>
      <w:lang w:val="en-US" w:eastAsia="zh-CN" w:bidi="ar-SA"/>
    </w:rPr>
  </w:style>
  <w:style w:type="character" w:customStyle="1" w:styleId="43">
    <w:name w:val="正文缩进 Char"/>
    <w:link w:val="7"/>
    <w:qFormat/>
    <w:uiPriority w:val="0"/>
    <w:rPr>
      <w:rFonts w:eastAsia="宋体"/>
      <w:kern w:val="2"/>
      <w:sz w:val="21"/>
      <w:szCs w:val="24"/>
      <w:lang w:val="en-US" w:eastAsia="zh-CN" w:bidi="ar-SA"/>
    </w:rPr>
  </w:style>
  <w:style w:type="character" w:customStyle="1" w:styleId="44">
    <w:name w:val="tpc_title1"/>
    <w:qFormat/>
    <w:uiPriority w:val="0"/>
    <w:rPr>
      <w:b/>
      <w:bCs/>
      <w:sz w:val="18"/>
      <w:szCs w:val="18"/>
    </w:rPr>
  </w:style>
  <w:style w:type="character" w:customStyle="1" w:styleId="45">
    <w:name w:val="tpc_content1"/>
    <w:qFormat/>
    <w:uiPriority w:val="0"/>
    <w:rPr>
      <w:sz w:val="20"/>
      <w:szCs w:val="20"/>
    </w:rPr>
  </w:style>
  <w:style w:type="paragraph" w:customStyle="1" w:styleId="46">
    <w:name w:val="正文缩进2格"/>
    <w:basedOn w:val="1"/>
    <w:qFormat/>
    <w:uiPriority w:val="0"/>
    <w:pPr>
      <w:spacing w:line="600" w:lineRule="exact"/>
      <w:ind w:firstLine="639" w:firstLineChars="206"/>
    </w:pPr>
    <w:rPr>
      <w:rFonts w:ascii="仿宋_GB2312" w:hAnsi="宋体" w:eastAsia="仿宋_GB2312"/>
      <w:sz w:val="31"/>
      <w:szCs w:val="28"/>
    </w:rPr>
  </w:style>
  <w:style w:type="paragraph" w:styleId="47">
    <w:name w:val="List Paragraph"/>
    <w:basedOn w:val="1"/>
    <w:link w:val="70"/>
    <w:qFormat/>
    <w:uiPriority w:val="34"/>
    <w:pPr>
      <w:ind w:firstLine="420" w:firstLineChars="200"/>
    </w:pPr>
  </w:style>
  <w:style w:type="paragraph" w:customStyle="1" w:styleId="48">
    <w:name w:val="正文1"/>
    <w:basedOn w:val="1"/>
    <w:qFormat/>
    <w:uiPriority w:val="0"/>
    <w:pPr>
      <w:tabs>
        <w:tab w:val="left" w:pos="4"/>
      </w:tabs>
      <w:spacing w:line="360" w:lineRule="auto"/>
      <w:ind w:left="-2" w:firstLine="482"/>
    </w:pPr>
    <w:rPr>
      <w:rFonts w:ascii="宋体" w:hAnsi="宋体"/>
      <w:sz w:val="24"/>
    </w:rPr>
  </w:style>
  <w:style w:type="paragraph" w:customStyle="1" w:styleId="49">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50">
    <w:name w:val="缩进正文"/>
    <w:basedOn w:val="1"/>
    <w:link w:val="51"/>
    <w:qFormat/>
    <w:uiPriority w:val="0"/>
    <w:pPr>
      <w:ind w:firstLine="560" w:firstLineChars="200"/>
    </w:pPr>
    <w:rPr>
      <w:rFonts w:eastAsia="仿宋_GB2312" w:cs="宋体"/>
      <w:sz w:val="28"/>
      <w:szCs w:val="20"/>
    </w:rPr>
  </w:style>
  <w:style w:type="character" w:customStyle="1" w:styleId="51">
    <w:name w:val="缩进正文 Char"/>
    <w:link w:val="50"/>
    <w:qFormat/>
    <w:uiPriority w:val="0"/>
    <w:rPr>
      <w:rFonts w:eastAsia="仿宋_GB2312" w:cs="宋体"/>
      <w:kern w:val="2"/>
      <w:sz w:val="28"/>
      <w:lang w:val="en-US" w:eastAsia="zh-CN" w:bidi="ar-SA"/>
    </w:rPr>
  </w:style>
  <w:style w:type="character" w:customStyle="1" w:styleId="52">
    <w:name w:val="标题 2 Char"/>
    <w:link w:val="4"/>
    <w:qFormat/>
    <w:uiPriority w:val="99"/>
    <w:rPr>
      <w:rFonts w:ascii="Arial" w:hAnsi="Arial" w:eastAsia="黑体"/>
      <w:b/>
      <w:bCs/>
      <w:kern w:val="2"/>
      <w:sz w:val="32"/>
      <w:szCs w:val="32"/>
    </w:rPr>
  </w:style>
  <w:style w:type="character" w:customStyle="1" w:styleId="53">
    <w:name w:val="正文文本 Char"/>
    <w:link w:val="10"/>
    <w:qFormat/>
    <w:uiPriority w:val="0"/>
    <w:rPr>
      <w:kern w:val="2"/>
      <w:sz w:val="21"/>
      <w:szCs w:val="24"/>
    </w:rPr>
  </w:style>
  <w:style w:type="character" w:customStyle="1" w:styleId="54">
    <w:name w:val="正文文本缩进 Char"/>
    <w:link w:val="11"/>
    <w:qFormat/>
    <w:uiPriority w:val="0"/>
    <w:rPr>
      <w:kern w:val="2"/>
      <w:sz w:val="21"/>
      <w:szCs w:val="24"/>
    </w:rPr>
  </w:style>
  <w:style w:type="paragraph" w:customStyle="1" w:styleId="55">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p0"/>
    <w:basedOn w:val="1"/>
    <w:qFormat/>
    <w:uiPriority w:val="0"/>
    <w:pPr>
      <w:widowControl/>
    </w:pPr>
    <w:rPr>
      <w:kern w:val="0"/>
      <w:szCs w:val="21"/>
    </w:rPr>
  </w:style>
  <w:style w:type="character" w:customStyle="1" w:styleId="57">
    <w:name w:val="正文文本缩进 3 Char"/>
    <w:link w:val="18"/>
    <w:qFormat/>
    <w:uiPriority w:val="0"/>
    <w:rPr>
      <w:kern w:val="2"/>
      <w:sz w:val="16"/>
      <w:szCs w:val="16"/>
    </w:rPr>
  </w:style>
  <w:style w:type="character" w:customStyle="1" w:styleId="58">
    <w:name w:val="页脚 Char"/>
    <w:link w:val="15"/>
    <w:qFormat/>
    <w:uiPriority w:val="0"/>
    <w:rPr>
      <w:kern w:val="2"/>
      <w:sz w:val="18"/>
      <w:szCs w:val="18"/>
    </w:rPr>
  </w:style>
  <w:style w:type="character" w:customStyle="1" w:styleId="59">
    <w:name w:val="标题 Char"/>
    <w:link w:val="21"/>
    <w:qFormat/>
    <w:uiPriority w:val="0"/>
    <w:rPr>
      <w:rFonts w:ascii="Arial" w:hAnsi="Arial" w:eastAsia="隶书" w:cs="Arial"/>
      <w:b/>
      <w:bCs/>
      <w:kern w:val="2"/>
      <w:sz w:val="32"/>
      <w:szCs w:val="32"/>
    </w:rPr>
  </w:style>
  <w:style w:type="paragraph" w:customStyle="1" w:styleId="60">
    <w:name w:val="列出段落1"/>
    <w:basedOn w:val="1"/>
    <w:qFormat/>
    <w:uiPriority w:val="34"/>
    <w:pPr>
      <w:ind w:firstLine="420" w:firstLineChars="200"/>
    </w:pPr>
    <w:rPr>
      <w:rFonts w:ascii="Calibri" w:hAnsi="Calibri" w:cs="黑体"/>
      <w:szCs w:val="22"/>
    </w:rPr>
  </w:style>
  <w:style w:type="character" w:customStyle="1" w:styleId="61">
    <w:name w:val="标题 8 Char"/>
    <w:link w:val="6"/>
    <w:qFormat/>
    <w:uiPriority w:val="0"/>
    <w:rPr>
      <w:rFonts w:ascii="Cambria" w:hAnsi="Cambria" w:eastAsia="宋体" w:cs="Times New Roman"/>
      <w:kern w:val="2"/>
      <w:sz w:val="24"/>
      <w:szCs w:val="24"/>
    </w:rPr>
  </w:style>
  <w:style w:type="paragraph" w:customStyle="1" w:styleId="6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63">
    <w:name w:val="页眉 Char"/>
    <w:link w:val="16"/>
    <w:qFormat/>
    <w:uiPriority w:val="0"/>
    <w:rPr>
      <w:kern w:val="2"/>
      <w:sz w:val="18"/>
      <w:szCs w:val="18"/>
    </w:rPr>
  </w:style>
  <w:style w:type="character" w:customStyle="1" w:styleId="64">
    <w:name w:val="标题 4 Char"/>
    <w:link w:val="5"/>
    <w:qFormat/>
    <w:uiPriority w:val="0"/>
    <w:rPr>
      <w:rFonts w:ascii="Arial" w:hAnsi="Arial" w:eastAsia="黑体"/>
      <w:b/>
      <w:bCs/>
      <w:kern w:val="2"/>
      <w:sz w:val="28"/>
      <w:szCs w:val="28"/>
    </w:rPr>
  </w:style>
  <w:style w:type="character" w:customStyle="1" w:styleId="65">
    <w:name w:val="font2"/>
    <w:basedOn w:val="26"/>
    <w:qFormat/>
    <w:uiPriority w:val="0"/>
  </w:style>
  <w:style w:type="paragraph" w:customStyle="1" w:styleId="66">
    <w:name w:val="表格内容"/>
    <w:basedOn w:val="1"/>
    <w:qFormat/>
    <w:uiPriority w:val="0"/>
    <w:pPr>
      <w:adjustRightInd w:val="0"/>
      <w:spacing w:line="320" w:lineRule="atLeast"/>
      <w:jc w:val="center"/>
      <w:textAlignment w:val="baseline"/>
    </w:pPr>
    <w:rPr>
      <w:kern w:val="0"/>
      <w:sz w:val="24"/>
      <w:szCs w:val="20"/>
    </w:rPr>
  </w:style>
  <w:style w:type="character" w:customStyle="1" w:styleId="67">
    <w:name w:val="批注文字 Char"/>
    <w:link w:val="9"/>
    <w:semiHidden/>
    <w:qFormat/>
    <w:uiPriority w:val="0"/>
    <w:rPr>
      <w:kern w:val="2"/>
      <w:sz w:val="21"/>
      <w:szCs w:val="24"/>
    </w:rPr>
  </w:style>
  <w:style w:type="paragraph" w:customStyle="1" w:styleId="68">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69">
    <w:name w:val="样式3"/>
    <w:basedOn w:val="10"/>
    <w:qFormat/>
    <w:uiPriority w:val="0"/>
    <w:pPr>
      <w:tabs>
        <w:tab w:val="left" w:pos="562"/>
        <w:tab w:val="left" w:pos="3372"/>
        <w:tab w:val="left" w:pos="3653"/>
      </w:tabs>
      <w:spacing w:after="0" w:line="360" w:lineRule="auto"/>
    </w:pPr>
    <w:rPr>
      <w:rFonts w:ascii="宋体"/>
    </w:rPr>
  </w:style>
  <w:style w:type="character" w:customStyle="1" w:styleId="70">
    <w:name w:val="列出段落 Char"/>
    <w:link w:val="47"/>
    <w:qFormat/>
    <w:uiPriority w:val="34"/>
    <w:rPr>
      <w:kern w:val="2"/>
      <w:sz w:val="21"/>
      <w:szCs w:val="24"/>
    </w:rPr>
  </w:style>
  <w:style w:type="paragraph" w:customStyle="1" w:styleId="71">
    <w:name w:val="正文文字2"/>
    <w:basedOn w:val="10"/>
    <w:qFormat/>
    <w:uiPriority w:val="0"/>
    <w:pPr>
      <w:adjustRightInd w:val="0"/>
      <w:spacing w:after="60" w:line="360" w:lineRule="atLeast"/>
      <w:ind w:left="72" w:leftChars="30" w:right="72" w:rightChars="30"/>
      <w:jc w:val="center"/>
      <w:textAlignment w:val="baseline"/>
    </w:pPr>
    <w:rPr>
      <w:rFonts w:ascii="Arial" w:eastAsia="黑体"/>
      <w:kern w:val="0"/>
    </w:rPr>
  </w:style>
  <w:style w:type="paragraph" w:customStyle="1" w:styleId="72">
    <w:name w:val="正文文字3"/>
    <w:basedOn w:val="10"/>
    <w:qFormat/>
    <w:uiPriority w:val="0"/>
    <w:pPr>
      <w:adjustRightInd w:val="0"/>
      <w:spacing w:line="360" w:lineRule="atLeast"/>
      <w:ind w:left="72" w:leftChars="30" w:right="72" w:rightChars="30"/>
      <w:textAlignment w:val="baseline"/>
    </w:pPr>
    <w:rPr>
      <w:kern w:val="0"/>
    </w:rPr>
  </w:style>
  <w:style w:type="paragraph" w:customStyle="1" w:styleId="73">
    <w:name w:val="注"/>
    <w:basedOn w:val="1"/>
    <w:qFormat/>
    <w:uiPriority w:val="0"/>
    <w:pPr>
      <w:adjustRightInd w:val="0"/>
      <w:spacing w:line="360" w:lineRule="atLeast"/>
      <w:ind w:left="840" w:hanging="420"/>
      <w:textAlignment w:val="baseline"/>
    </w:pPr>
    <w:rPr>
      <w:kern w:val="0"/>
      <w:szCs w:val="20"/>
    </w:rPr>
  </w:style>
  <w:style w:type="paragraph" w:customStyle="1" w:styleId="74">
    <w:name w:val="Table Paragraph"/>
    <w:basedOn w:val="1"/>
    <w:qFormat/>
    <w:uiPriority w:val="0"/>
    <w:pPr>
      <w:jc w:val="left"/>
    </w:pPr>
    <w:rPr>
      <w:rFonts w:ascii="Calibri" w:hAnsi="Calibri"/>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AEA66E-D25C-49EE-B66B-740C4FBBEC3A}">
  <ds:schemaRefs/>
</ds:datastoreItem>
</file>

<file path=customXml/itemProps3.xml><?xml version="1.0" encoding="utf-8"?>
<ds:datastoreItem xmlns:ds="http://schemas.openxmlformats.org/officeDocument/2006/customXml" ds:itemID="{11463A1F-DC4F-482A-815C-0344F1590D59}">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42</Pages>
  <Words>26088</Words>
  <Characters>27719</Characters>
  <Lines>212</Lines>
  <Paragraphs>59</Paragraphs>
  <TotalTime>166</TotalTime>
  <ScaleCrop>false</ScaleCrop>
  <LinksUpToDate>false</LinksUpToDate>
  <CharactersWithSpaces>28232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2018-09-21T06:07:00Z</dcterms:created>
  <dc:creator>微软用户</dc:creator>
  <cp:lastModifiedBy>SunnyBird</cp:lastModifiedBy>
  <cp:lastPrinted>2017-07-12T14:41:00Z</cp:lastPrinted>
  <dcterms:modified xsi:type="dcterms:W3CDTF">2022-11-19T02:03:00Z</dcterms:modified>
  <dc:title>招标编号：UHO2010-G0029</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F72810D463C24193967FC6E0E22062E7</vt:lpwstr>
  </property>
</Properties>
</file>