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jc w:val="center"/>
        <w:rPr>
          <w:rFonts w:eastAsia="黑体"/>
          <w:color w:val="000000" w:themeColor="text1"/>
          <w:sz w:val="52"/>
          <w:szCs w:val="52"/>
          <w14:textFill>
            <w14:solidFill>
              <w14:schemeClr w14:val="tx1"/>
            </w14:solidFill>
          </w14:textFill>
        </w:rPr>
      </w:pPr>
      <w:r>
        <w:rPr>
          <w:rFonts w:hint="eastAsia" w:eastAsia="黑体"/>
          <w:color w:val="000000" w:themeColor="text1"/>
          <w:sz w:val="52"/>
          <w:szCs w:val="52"/>
          <w14:textFill>
            <w14:solidFill>
              <w14:schemeClr w14:val="tx1"/>
            </w14:solidFill>
          </w14:textFill>
        </w:rPr>
        <w:t xml:space="preserve"> </w:t>
      </w:r>
      <w:r>
        <w:rPr>
          <w:rFonts w:eastAsia="黑体"/>
          <w:color w:val="000000" w:themeColor="text1"/>
          <w:sz w:val="52"/>
          <w:szCs w:val="52"/>
          <w14:textFill>
            <w14:solidFill>
              <w14:schemeClr w14:val="tx1"/>
            </w14:solidFill>
          </w14:textFill>
        </w:rPr>
        <w:t>【服务类】</w:t>
      </w:r>
    </w:p>
    <w:p>
      <w:pPr>
        <w:rPr>
          <w:color w:val="000000" w:themeColor="text1"/>
          <w14:textFill>
            <w14:solidFill>
              <w14:schemeClr w14:val="tx1"/>
            </w14:solidFill>
          </w14:textFill>
        </w:rPr>
      </w:pPr>
    </w:p>
    <w:p>
      <w:pPr>
        <w:rPr>
          <w:color w:val="000000" w:themeColor="text1"/>
          <w:sz w:val="52"/>
          <w:szCs w:val="52"/>
          <w14:textFill>
            <w14:solidFill>
              <w14:schemeClr w14:val="tx1"/>
            </w14:solidFill>
          </w14:textFill>
        </w:rPr>
      </w:pPr>
    </w:p>
    <w:p>
      <w:pPr>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 xml:space="preserve">   </w:t>
      </w:r>
    </w:p>
    <w:p>
      <w:pPr>
        <w:rPr>
          <w:color w:val="000000" w:themeColor="text1"/>
          <w:sz w:val="44"/>
          <w:szCs w:val="44"/>
          <w14:textFill>
            <w14:solidFill>
              <w14:schemeClr w14:val="tx1"/>
            </w14:solidFill>
          </w14:textFill>
        </w:rPr>
      </w:pPr>
    </w:p>
    <w:p>
      <w:pPr>
        <w:jc w:val="center"/>
        <w:rPr>
          <w:b/>
          <w:sz w:val="44"/>
          <w:szCs w:val="44"/>
        </w:rPr>
      </w:pPr>
      <w:r>
        <w:rPr>
          <w:b/>
          <w:color w:val="000000" w:themeColor="text1"/>
          <w:sz w:val="44"/>
          <w:szCs w:val="44"/>
          <w14:textFill>
            <w14:solidFill>
              <w14:schemeClr w14:val="tx1"/>
            </w14:solidFill>
          </w14:textFill>
        </w:rPr>
        <w:t>项目编号：</w:t>
      </w:r>
      <w:r>
        <w:rPr>
          <w:b/>
          <w:sz w:val="44"/>
          <w:szCs w:val="44"/>
        </w:rPr>
        <w:t>HITSZ-EIC-IM01</w:t>
      </w:r>
    </w:p>
    <w:p>
      <w:pPr>
        <w:rPr>
          <w:sz w:val="52"/>
          <w:szCs w:val="52"/>
        </w:rPr>
      </w:pP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哈尔滨工业大学（深圳）</w:t>
      </w: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实验与创新实践教育中心网站建设项目</w:t>
      </w:r>
    </w:p>
    <w:p>
      <w:pPr>
        <w:rPr>
          <w:b/>
          <w:color w:val="000000" w:themeColor="text1"/>
          <w:sz w:val="52"/>
          <w:szCs w:val="52"/>
          <w14:textFill>
            <w14:solidFill>
              <w14:schemeClr w14:val="tx1"/>
            </w14:solidFill>
          </w14:textFill>
        </w:rPr>
      </w:pPr>
    </w:p>
    <w:p>
      <w:pPr>
        <w:jc w:val="center"/>
        <w:rPr>
          <w:b/>
          <w:color w:val="000000" w:themeColor="text1"/>
          <w:sz w:val="52"/>
          <w:szCs w:val="52"/>
          <w14:textFill>
            <w14:solidFill>
              <w14:schemeClr w14:val="tx1"/>
            </w14:solidFill>
          </w14:textFill>
        </w:rPr>
      </w:pPr>
      <w:r>
        <w:rPr>
          <w:b/>
          <w:color w:val="000000" w:themeColor="text1"/>
          <w:sz w:val="52"/>
          <w:szCs w:val="52"/>
          <w14:textFill>
            <w14:solidFill>
              <w14:schemeClr w14:val="tx1"/>
            </w14:solidFill>
          </w14:textFill>
        </w:rPr>
        <w:t>招标文件</w:t>
      </w:r>
    </w:p>
    <w:p>
      <w:pPr>
        <w:rPr>
          <w:color w:val="000000" w:themeColor="text1"/>
          <w:sz w:val="52"/>
          <w:szCs w:val="52"/>
          <w14:textFill>
            <w14:solidFill>
              <w14:schemeClr w14:val="tx1"/>
            </w14:solidFill>
          </w14:textFill>
        </w:rPr>
      </w:pPr>
    </w:p>
    <w:p>
      <w:pPr>
        <w:rPr>
          <w:color w:val="000000" w:themeColor="text1"/>
          <w:sz w:val="52"/>
          <w:szCs w:val="52"/>
          <w14:textFill>
            <w14:solidFill>
              <w14:schemeClr w14:val="tx1"/>
            </w14:solidFill>
          </w14:textFill>
        </w:rPr>
      </w:pPr>
    </w:p>
    <w:p>
      <w:pPr>
        <w:rPr>
          <w:color w:val="000000" w:themeColor="text1"/>
          <w:sz w:val="52"/>
          <w:szCs w:val="52"/>
          <w14:textFill>
            <w14:solidFill>
              <w14:schemeClr w14:val="tx1"/>
            </w14:solidFill>
          </w14:textFill>
        </w:rPr>
      </w:pPr>
    </w:p>
    <w:p>
      <w:pPr>
        <w:rPr>
          <w:color w:val="000000" w:themeColor="text1"/>
          <w:sz w:val="52"/>
          <w:szCs w:val="52"/>
          <w14:textFill>
            <w14:solidFill>
              <w14:schemeClr w14:val="tx1"/>
            </w14:solidFill>
          </w14:textFill>
        </w:rPr>
      </w:pPr>
    </w:p>
    <w:p>
      <w:pPr>
        <w:rPr>
          <w:color w:val="000000" w:themeColor="text1"/>
          <w:sz w:val="52"/>
          <w:szCs w:val="52"/>
          <w14:textFill>
            <w14:solidFill>
              <w14:schemeClr w14:val="tx1"/>
            </w14:solidFill>
          </w14:textFill>
        </w:rPr>
      </w:pPr>
    </w:p>
    <w:p>
      <w:pPr>
        <w:rPr>
          <w:color w:val="000000" w:themeColor="text1"/>
          <w:sz w:val="52"/>
          <w:szCs w:val="52"/>
          <w14:textFill>
            <w14:solidFill>
              <w14:schemeClr w14:val="tx1"/>
            </w14:solidFill>
          </w14:textFill>
        </w:rPr>
      </w:pPr>
    </w:p>
    <w:p>
      <w:pPr>
        <w:rPr>
          <w:color w:val="000000" w:themeColor="text1"/>
          <w:sz w:val="52"/>
          <w:szCs w:val="52"/>
          <w14:textFill>
            <w14:solidFill>
              <w14:schemeClr w14:val="tx1"/>
            </w14:solidFill>
          </w14:textFill>
        </w:rPr>
      </w:pPr>
    </w:p>
    <w:p>
      <w:pPr>
        <w:jc w:val="center"/>
        <w:rPr>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哈尔滨工业大学（深圳）实验与创新实践教育中心</w:t>
      </w:r>
    </w:p>
    <w:p>
      <w:pPr>
        <w:jc w:val="center"/>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二〇</w:t>
      </w:r>
      <w:r>
        <w:rPr>
          <w:rFonts w:hint="eastAsia"/>
          <w:color w:val="000000" w:themeColor="text1"/>
          <w:sz w:val="44"/>
          <w:szCs w:val="44"/>
          <w14:textFill>
            <w14:solidFill>
              <w14:schemeClr w14:val="tx1"/>
            </w14:solidFill>
          </w14:textFill>
        </w:rPr>
        <w:t>一八</w:t>
      </w:r>
      <w:r>
        <w:rPr>
          <w:color w:val="000000" w:themeColor="text1"/>
          <w:sz w:val="44"/>
          <w:szCs w:val="44"/>
          <w14:textFill>
            <w14:solidFill>
              <w14:schemeClr w14:val="tx1"/>
            </w14:solidFill>
          </w14:textFill>
        </w:rPr>
        <w:t>年</w:t>
      </w:r>
      <w:r>
        <w:rPr>
          <w:rFonts w:hint="eastAsia"/>
          <w:color w:val="000000" w:themeColor="text1"/>
          <w:sz w:val="44"/>
          <w:szCs w:val="44"/>
          <w14:textFill>
            <w14:solidFill>
              <w14:schemeClr w14:val="tx1"/>
            </w14:solidFill>
          </w14:textFill>
        </w:rPr>
        <w:t>十一月</w:t>
      </w:r>
    </w:p>
    <w:p>
      <w:pPr>
        <w:jc w:val="center"/>
        <w:rPr>
          <w:color w:val="000000" w:themeColor="text1"/>
          <w:sz w:val="36"/>
          <w14:textFill>
            <w14:solidFill>
              <w14:schemeClr w14:val="tx1"/>
            </w14:solidFill>
          </w14:textFill>
        </w:rPr>
        <w:sectPr>
          <w:headerReference r:id="rId3" w:type="default"/>
          <w:footerReference r:id="rId4" w:type="even"/>
          <w:pgSz w:w="11906" w:h="16838"/>
          <w:pgMar w:top="1134" w:right="1134" w:bottom="1134" w:left="1134" w:header="851" w:footer="992" w:gutter="0"/>
          <w:cols w:space="425" w:num="1"/>
          <w:docGrid w:type="lines" w:linePitch="312" w:charSpace="0"/>
        </w:sectPr>
      </w:pPr>
    </w:p>
    <w:p>
      <w:pPr>
        <w:pStyle w:val="2"/>
        <w:rPr>
          <w:color w:val="000000" w:themeColor="text1"/>
          <w14:textFill>
            <w14:solidFill>
              <w14:schemeClr w14:val="tx1"/>
            </w14:solidFill>
          </w14:textFill>
        </w:rPr>
      </w:pPr>
      <w:r>
        <w:rPr>
          <w:color w:val="000000" w:themeColor="text1"/>
          <w14:textFill>
            <w14:solidFill>
              <w14:schemeClr w14:val="tx1"/>
            </w14:solidFill>
          </w14:textFill>
        </w:rPr>
        <w:t>关键信息</w:t>
      </w:r>
    </w:p>
    <w:p>
      <w:pPr>
        <w:pStyle w:val="4"/>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投标须知前附表</w:t>
      </w:r>
    </w:p>
    <w:tbl>
      <w:tblPr>
        <w:tblStyle w:val="24"/>
        <w:tblW w:w="8723"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项目类型</w:t>
            </w:r>
          </w:p>
        </w:tc>
        <w:tc>
          <w:tcPr>
            <w:tcW w:w="6097"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采购方式</w:t>
            </w:r>
          </w:p>
        </w:tc>
        <w:tc>
          <w:tcPr>
            <w:tcW w:w="6097"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26"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货币类型</w:t>
            </w:r>
          </w:p>
        </w:tc>
        <w:tc>
          <w:tcPr>
            <w:tcW w:w="6097"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预算金额</w:t>
            </w:r>
          </w:p>
        </w:tc>
        <w:tc>
          <w:tcPr>
            <w:tcW w:w="609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26"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投标保证金</w:t>
            </w:r>
          </w:p>
        </w:tc>
        <w:tc>
          <w:tcPr>
            <w:tcW w:w="6097" w:type="dxa"/>
            <w:vAlign w:val="center"/>
          </w:tcPr>
          <w:p>
            <w:pPr>
              <w:jc w:val="center"/>
              <w:rPr>
                <w:snapToGrid w:val="0"/>
                <w:color w:val="000000" w:themeColor="text1"/>
                <w:kern w:val="0"/>
                <w:szCs w:val="21"/>
                <w:u w:val="single"/>
                <w:lang w:val="zh-CN"/>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投标人的替代方案</w:t>
            </w:r>
          </w:p>
        </w:tc>
        <w:tc>
          <w:tcPr>
            <w:tcW w:w="6097" w:type="dxa"/>
            <w:vAlign w:val="center"/>
          </w:tcPr>
          <w:p>
            <w:pPr>
              <w:jc w:val="center"/>
              <w:rPr>
                <w:color w:val="000000" w:themeColor="text1"/>
                <w:u w:val="single"/>
                <w14:textFill>
                  <w14:solidFill>
                    <w14:schemeClr w14:val="tx1"/>
                  </w14:solidFill>
                </w14:textFill>
              </w:rPr>
            </w:pPr>
            <w:r>
              <w:rPr>
                <w:color w:val="000000" w:themeColor="text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投标有效期</w:t>
            </w:r>
          </w:p>
        </w:tc>
        <w:tc>
          <w:tcPr>
            <w:tcW w:w="609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w:t>
            </w:r>
            <w:r>
              <w:rPr>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2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代理服务费</w:t>
            </w:r>
          </w:p>
        </w:tc>
        <w:tc>
          <w:tcPr>
            <w:tcW w:w="609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投标文件份数</w:t>
            </w:r>
          </w:p>
        </w:tc>
        <w:tc>
          <w:tcPr>
            <w:tcW w:w="609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一正</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副及电子文档一份（电子文档置于唱标信封密封袋中）</w:t>
            </w:r>
          </w:p>
        </w:tc>
      </w:tr>
    </w:tbl>
    <w:p>
      <w:pPr>
        <w:pStyle w:val="4"/>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投标文件初审表</w:t>
      </w:r>
    </w:p>
    <w:tbl>
      <w:tblPr>
        <w:tblStyle w:val="2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2"/>
          </w:tcPr>
          <w:p>
            <w:pPr>
              <w:jc w:val="center"/>
              <w:rPr>
                <w:color w:val="000000" w:themeColor="text1"/>
                <w14:textFill>
                  <w14:solidFill>
                    <w14:schemeClr w14:val="tx1"/>
                  </w14:solidFill>
                </w14:textFill>
              </w:rPr>
            </w:pPr>
            <w:r>
              <w:rPr>
                <w:color w:val="000000" w:themeColor="text1"/>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投标人不具备招标资质要求，或未提交相应资格证明材料（详见招标公告投标人资质要求，其中未列示的资质要求不得导致废标。）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投标人不具备国家有关法律规定的有关资质的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2"/>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招标文件未规定允许有替代方案时，对同一服务投标时，同时提供两套或两套以上的投标方案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406" w:type="dxa"/>
          </w:tcPr>
          <w:p>
            <w:pPr>
              <w:tabs>
                <w:tab w:val="center" w:pos="3595"/>
              </w:tabs>
              <w:rPr>
                <w:color w:val="000000" w:themeColor="text1"/>
                <w14:textFill>
                  <w14:solidFill>
                    <w14:schemeClr w14:val="tx1"/>
                  </w14:solidFill>
                </w14:textFill>
              </w:rPr>
            </w:pPr>
            <w:r>
              <w:rPr>
                <w:color w:val="000000" w:themeColor="text1"/>
                <w14:textFill>
                  <w14:solidFill>
                    <w14:schemeClr w14:val="tx1"/>
                  </w14:solidFill>
                </w14:textFill>
              </w:rPr>
              <w:t>投标总价高于财政预算限额</w:t>
            </w:r>
            <w:r>
              <w:rPr>
                <w:color w:val="000000" w:themeColor="text1"/>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所投产品、工程、服务在质量、技术、方案等方面没有实质性满足招标文件要求（是否实质性满足招标文件要求，由评标委员会来做出评判）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《技术规格偏离表》或《商务条款偏离表》未按《承诺函》所述填写，经评审小组认定存在不明或不实的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7406" w:type="dxa"/>
          </w:tcPr>
          <w:p>
            <w:pPr>
              <w:rPr>
                <w:color w:val="000000" w:themeColor="text1"/>
                <w14:textFill>
                  <w14:solidFill>
                    <w14:schemeClr w14:val="tx1"/>
                  </w14:solidFill>
                </w14:textFill>
              </w:rPr>
            </w:pPr>
            <w:r>
              <w:rPr>
                <w:color w:val="000000" w:themeColor="text1"/>
                <w14:textFill>
                  <w14:solidFill>
                    <w14:schemeClr w14:val="tx1"/>
                  </w14:solidFill>
                </w14:textFill>
              </w:rPr>
              <w:t>法律、法规规定的其他情形</w:t>
            </w:r>
          </w:p>
        </w:tc>
      </w:tr>
    </w:tbl>
    <w:p>
      <w:pPr>
        <w:pStyle w:val="4"/>
        <w:jc w:val="center"/>
        <w:rPr>
          <w:color w:val="000000" w:themeColor="text1"/>
          <w:sz w:val="36"/>
          <w14:textFill>
            <w14:solidFill>
              <w14:schemeClr w14:val="tx1"/>
            </w14:solidFill>
          </w14:textFill>
        </w:rPr>
      </w:pPr>
    </w:p>
    <w:p>
      <w:pPr>
        <w:rPr>
          <w:rFonts w:ascii="Arial" w:hAnsi="Arial" w:eastAsia="黑体"/>
          <w:color w:val="000000" w:themeColor="text1"/>
          <w:szCs w:val="32"/>
          <w14:textFill>
            <w14:solidFill>
              <w14:schemeClr w14:val="tx1"/>
            </w14:solidFill>
          </w14:textFill>
        </w:rPr>
      </w:pPr>
      <w:r>
        <w:rPr>
          <w:color w:val="000000" w:themeColor="text1"/>
          <w14:textFill>
            <w14:solidFill>
              <w14:schemeClr w14:val="tx1"/>
            </w14:solidFill>
          </w14:textFill>
        </w:rPr>
        <w:br w:type="page"/>
      </w:r>
    </w:p>
    <w:p>
      <w:pPr>
        <w:pStyle w:val="4"/>
        <w:jc w:val="center"/>
        <w:rPr>
          <w:color w:val="000000" w:themeColor="text1"/>
          <w14:textFill>
            <w14:solidFill>
              <w14:schemeClr w14:val="tx1"/>
            </w14:solidFill>
          </w14:textFill>
        </w:rPr>
      </w:pPr>
      <w:r>
        <w:rPr>
          <w:color w:val="000000" w:themeColor="text1"/>
          <w14:textFill>
            <w14:solidFill>
              <w14:schemeClr w14:val="tx1"/>
            </w14:solidFill>
          </w14:textFill>
        </w:rPr>
        <w:t>评标信息</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本次评标采用</w:t>
      </w:r>
      <w:r>
        <w:rPr>
          <w:b/>
          <w:color w:val="000000" w:themeColor="text1"/>
          <w:szCs w:val="21"/>
          <w14:textFill>
            <w14:solidFill>
              <w14:schemeClr w14:val="tx1"/>
            </w14:solidFill>
          </w14:textFill>
        </w:rPr>
        <w:t>综合评分法</w:t>
      </w:r>
      <w:r>
        <w:rPr>
          <w:color w:val="000000" w:themeColor="text1"/>
          <w:szCs w:val="21"/>
          <w14:textFill>
            <w14:solidFill>
              <w14:schemeClr w14:val="tx1"/>
            </w14:solidFill>
          </w14:textFill>
        </w:rPr>
        <w:t>，定标办法为</w:t>
      </w:r>
      <w:r>
        <w:rPr>
          <w:rFonts w:hint="eastAsia"/>
          <w:b/>
          <w:color w:val="000000" w:themeColor="text1"/>
          <w:szCs w:val="21"/>
          <w14:textFill>
            <w14:solidFill>
              <w14:schemeClr w14:val="tx1"/>
            </w14:solidFill>
          </w14:textFill>
        </w:rPr>
        <w:t>自定法</w:t>
      </w:r>
      <w:r>
        <w:rPr>
          <w:color w:val="000000" w:themeColor="text1"/>
          <w:szCs w:val="21"/>
          <w14:textFill>
            <w14:solidFill>
              <w14:schemeClr w14:val="tx1"/>
            </w14:solidFill>
          </w14:textFill>
        </w:rPr>
        <w:t>；按照招标文件中规定的各项因素进行量化打分，每个投标单位的总得分以去掉一个最高分和一个最低分后的汇总分的算术平均分确定，以汇总分的算术平均分排序，</w:t>
      </w:r>
      <w:r>
        <w:rPr>
          <w:b/>
          <w:bCs/>
          <w:snapToGrid w:val="0"/>
          <w:color w:val="000000" w:themeColor="text1"/>
          <w:kern w:val="0"/>
          <w:szCs w:val="21"/>
          <w14:textFill>
            <w14:solidFill>
              <w14:schemeClr w14:val="tx1"/>
            </w14:solidFill>
          </w14:textFill>
        </w:rPr>
        <w:t>推荐三家候选中标供应商。</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确定中标供应商按评审后得分由高到低顺序排列。得分相同的，按投标报价由低到高顺序排列。得分且投标报价相同的，按技术或服务方案优劣顺序排列。</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评标委员会对每个通过资格性检查和符合性检查且报价不超过预算控制金额的投标供应商进行评审、打分，然后汇总每个投标供应商每项评分因素的评分。</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评委会在评标时，按照以下量化的评审因素，对进入该阶段评审的各投标文件进行分析和比较：</w:t>
      </w: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评分标准</w:t>
      </w:r>
    </w:p>
    <w:tbl>
      <w:tblPr>
        <w:tblStyle w:val="24"/>
        <w:tblW w:w="9181"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54"/>
        <w:gridCol w:w="1505"/>
        <w:gridCol w:w="4148"/>
        <w:gridCol w:w="917"/>
        <w:gridCol w:w="1096"/>
        <w:gridCol w:w="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p>
        </w:tc>
        <w:tc>
          <w:tcPr>
            <w:tcW w:w="6307" w:type="dxa"/>
            <w:gridSpan w:val="3"/>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价格部分</w:t>
            </w:r>
          </w:p>
        </w:tc>
        <w:tc>
          <w:tcPr>
            <w:tcW w:w="2089" w:type="dxa"/>
            <w:gridSpan w:val="3"/>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tcBorders>
              <w:top w:val="single" w:color="auto" w:sz="4" w:space="0"/>
              <w:left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序号</w:t>
            </w:r>
          </w:p>
        </w:tc>
        <w:tc>
          <w:tcPr>
            <w:tcW w:w="1505"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内容</w:t>
            </w:r>
          </w:p>
        </w:tc>
        <w:tc>
          <w:tcPr>
            <w:tcW w:w="4148"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评分规则</w:t>
            </w:r>
          </w:p>
        </w:tc>
        <w:tc>
          <w:tcPr>
            <w:tcW w:w="917"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权重</w:t>
            </w:r>
          </w:p>
        </w:tc>
        <w:tc>
          <w:tcPr>
            <w:tcW w:w="1172" w:type="dxa"/>
            <w:gridSpan w:val="2"/>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85" w:type="dxa"/>
            <w:vMerge w:val="continue"/>
            <w:tcBorders>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价格</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价格分=[1-（投标报价-最低价）/最低价]×价格权重×100</w:t>
            </w:r>
          </w:p>
          <w:p>
            <w:pPr>
              <w:pStyle w:val="16"/>
              <w:pBdr>
                <w:bottom w:val="none" w:color="auto" w:sz="0" w:space="0"/>
              </w:pBdr>
              <w:tabs>
                <w:tab w:val="clear" w:pos="4153"/>
                <w:tab w:val="clear" w:pos="8306"/>
              </w:tabs>
              <w:jc w:val="both"/>
              <w:rPr>
                <w:color w:val="000000" w:themeColor="text1"/>
                <w14:textFill>
                  <w14:solidFill>
                    <w14:schemeClr w14:val="tx1"/>
                  </w14:solidFill>
                </w14:textFill>
              </w:rPr>
            </w:pPr>
            <w:r>
              <w:rPr>
                <w:rFonts w:hint="eastAsia" w:hAnsi="宋体"/>
                <w:color w:val="000000" w:themeColor="text1"/>
                <w:sz w:val="21"/>
                <w14:textFill>
                  <w14:solidFill>
                    <w14:schemeClr w14:val="tx1"/>
                  </w14:solidFill>
                </w14:textFill>
              </w:rPr>
              <w:t>如报价低于招标控制金额70%的必须做合理的说明，否则视为恶性竞争，将按招标控制金额的100%重新计算报价得分。</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90" w:lineRule="atLeast"/>
              <w:jc w:val="center"/>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30</w:t>
            </w:r>
          </w:p>
        </w:tc>
        <w:tc>
          <w:tcPr>
            <w:tcW w:w="11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b/>
                <w:color w:val="000000" w:themeColor="text1"/>
                <w:kern w:val="0"/>
                <w14:textFill>
                  <w14:solidFill>
                    <w14:schemeClr w14:val="tx1"/>
                  </w14:solidFill>
                </w14:textFill>
              </w:rPr>
              <w:t>2</w:t>
            </w:r>
          </w:p>
        </w:tc>
        <w:tc>
          <w:tcPr>
            <w:tcW w:w="7224" w:type="dxa"/>
            <w:gridSpan w:val="4"/>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技术部分</w:t>
            </w:r>
          </w:p>
        </w:tc>
        <w:tc>
          <w:tcPr>
            <w:tcW w:w="1172" w:type="dxa"/>
            <w:gridSpan w:val="2"/>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85" w:type="dxa"/>
            <w:vMerge w:val="restart"/>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36" w:lineRule="atLeast"/>
              <w:jc w:val="center"/>
              <w:rPr>
                <w:b/>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6"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序号</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6"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内容</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6"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评分规则</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6"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权重</w:t>
            </w:r>
          </w:p>
        </w:tc>
        <w:tc>
          <w:tcPr>
            <w:tcW w:w="11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6"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90" w:lineRule="atLeas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实施</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方案</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对投标单位根据招标采购需求编制的项目实施方案（含二次开发）进行综合评定，专家根据方案内容酌情打分：</w:t>
            </w:r>
          </w:p>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根据投标单位的项目实施方案需包含时间进度、项目管理方案、工程实施方案、软件开发方案、部署方案、质量保证措施、验收标准及验收方法等相关内容，提供实施过程文档范例、开发工具、版本库、系统发布、远程服务截图。（完全提供且满足进度与项目管理要求的，根据优劣得 0-15 分，缺漏项的不得分）</w:t>
            </w:r>
          </w:p>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应进行系统的信息安全风险分析，在风险分析的基础上进行系统的 安全设计，并落实到具体的管理与技术措施，确保系统能够对系统故障、内外部攻击、病毒、灾害等威胁产生的</w:t>
            </w:r>
            <w:bookmarkStart w:id="224" w:name="_GoBack"/>
            <w:bookmarkEnd w:id="224"/>
            <w:r>
              <w:rPr>
                <w:rFonts w:hint="eastAsia" w:hAnsi="宋体"/>
                <w:color w:val="000000" w:themeColor="text1"/>
                <w:sz w:val="21"/>
                <w14:textFill>
                  <w14:solidFill>
                    <w14:schemeClr w14:val="tx1"/>
                  </w14:solidFill>
                </w14:textFill>
              </w:rPr>
              <w:t>风险进行有效控制，保障业务的连续性，并满足等级保护二级要求。</w:t>
            </w:r>
          </w:p>
          <w:p>
            <w:pPr>
              <w:pStyle w:val="16"/>
              <w:pBdr>
                <w:bottom w:val="none" w:color="auto" w:sz="0" w:space="0"/>
              </w:pBdr>
              <w:tabs>
                <w:tab w:val="clear" w:pos="4153"/>
                <w:tab w:val="clear" w:pos="8306"/>
              </w:tabs>
              <w:jc w:val="both"/>
              <w:rPr>
                <w:rFonts w:ascii="宋体" w:hAnsi="宋体"/>
                <w:color w:val="000000" w:themeColor="text1"/>
                <w14:textFill>
                  <w14:solidFill>
                    <w14:schemeClr w14:val="tx1"/>
                  </w14:solidFill>
                </w14:textFill>
              </w:rPr>
            </w:pPr>
            <w:r>
              <w:rPr>
                <w:rFonts w:hint="eastAsia" w:hAnsi="宋体"/>
                <w:color w:val="000000" w:themeColor="text1"/>
                <w:sz w:val="21"/>
                <w14:textFill>
                  <w14:solidFill>
                    <w14:schemeClr w14:val="tx1"/>
                  </w14:solidFill>
                </w14:textFill>
              </w:rPr>
              <w:t>（完全满足根据优劣得0-10 分，缺漏项的不得分）</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90"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25</w:t>
            </w:r>
          </w:p>
        </w:tc>
        <w:tc>
          <w:tcPr>
            <w:tcW w:w="11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90"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1" w:lineRule="atLeas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系统演示（演示类似项目门户至少10套及可视化系统）</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门户网站：现场进行类似案例门户演示。</w:t>
            </w:r>
          </w:p>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（满分值为10；完全满足根据优劣得0-10 分，不足10套不得分。）</w:t>
            </w:r>
          </w:p>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可视化展示：现场进行视频信息采集、楼宇设备标识点添加、物联数据关联操作等。</w:t>
            </w:r>
          </w:p>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（满分值为10；演示完整且采用数据库动态数据的得6-10分；有缺漏项的得0-2分；</w:t>
            </w:r>
          </w:p>
          <w:p>
            <w:pPr>
              <w:pStyle w:val="16"/>
              <w:pBdr>
                <w:bottom w:val="none" w:color="auto" w:sz="0" w:space="0"/>
              </w:pBdr>
              <w:tabs>
                <w:tab w:val="clear" w:pos="4153"/>
                <w:tab w:val="clear" w:pos="8306"/>
              </w:tabs>
              <w:jc w:val="both"/>
              <w:rPr>
                <w:rFonts w:ascii="宋体" w:hAnsi="宋体"/>
                <w:color w:val="000000" w:themeColor="text1"/>
                <w14:textFill>
                  <w14:solidFill>
                    <w14:schemeClr w14:val="tx1"/>
                  </w14:solidFill>
                </w14:textFill>
              </w:rPr>
            </w:pPr>
            <w:r>
              <w:rPr>
                <w:rFonts w:hint="eastAsia" w:hAnsi="宋体"/>
                <w:color w:val="000000" w:themeColor="text1"/>
                <w:sz w:val="21"/>
                <w14:textFill>
                  <w14:solidFill>
                    <w14:schemeClr w14:val="tx1"/>
                  </w14:solidFill>
                </w14:textFill>
              </w:rPr>
              <w:t>现场未演示、采用静态页面、未按要求演示的不得分）</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1"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20</w:t>
            </w:r>
          </w:p>
        </w:tc>
        <w:tc>
          <w:tcPr>
            <w:tcW w:w="11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1"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85"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31" w:lineRule="atLeast"/>
              <w:jc w:val="center"/>
              <w:rPr>
                <w:b/>
                <w:color w:val="000000" w:themeColor="text1"/>
                <w:kern w:val="0"/>
                <w14:textFill>
                  <w14:solidFill>
                    <w14:schemeClr w14:val="tx1"/>
                  </w14:solidFill>
                </w14:textFill>
              </w:rPr>
            </w:pPr>
            <w:r>
              <w:rPr>
                <w:b/>
                <w:color w:val="000000" w:themeColor="text1"/>
                <w:kern w:val="0"/>
                <w14:textFill>
                  <w14:solidFill>
                    <w14:schemeClr w14:val="tx1"/>
                  </w14:solidFill>
                </w14:textFill>
              </w:rPr>
              <w:t>3</w:t>
            </w:r>
          </w:p>
        </w:tc>
        <w:tc>
          <w:tcPr>
            <w:tcW w:w="6307" w:type="dxa"/>
            <w:gridSpan w:val="3"/>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31"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商务部分</w:t>
            </w:r>
          </w:p>
        </w:tc>
        <w:tc>
          <w:tcPr>
            <w:tcW w:w="917"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31" w:lineRule="atLeast"/>
              <w:jc w:val="center"/>
              <w:rPr>
                <w:b/>
                <w:color w:val="000000" w:themeColor="text1"/>
                <w:kern w:val="0"/>
                <w14:textFill>
                  <w14:solidFill>
                    <w14:schemeClr w14:val="tx1"/>
                  </w14:solidFill>
                </w14:textFill>
              </w:rPr>
            </w:pPr>
          </w:p>
        </w:tc>
        <w:tc>
          <w:tcPr>
            <w:tcW w:w="1172" w:type="dxa"/>
            <w:gridSpan w:val="2"/>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31"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81" w:hRule="atLeast"/>
        </w:trPr>
        <w:tc>
          <w:tcPr>
            <w:tcW w:w="785" w:type="dxa"/>
            <w:vMerge w:val="restart"/>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81" w:lineRule="atLeast"/>
              <w:jc w:val="center"/>
              <w:rPr>
                <w:b/>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81"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序号</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81"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评分因素</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81"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评分规则</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81"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权重</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81" w:lineRule="atLeast"/>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030"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投标人同类项目执行能力情况</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承担过高等院校、文化馆、文化传播机构等网站建设的，每个得1分，累计得分，最高得10分。</w:t>
            </w:r>
          </w:p>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承担过高等院校、文化馆、文化传播机构等可视化平台建设的，每个得1分，累计得分，最高得5分，要求提供项目案例截图、投标单位自主知识产权证明，不提供不得分。</w:t>
            </w:r>
          </w:p>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要求提供合同关键页复印件（原件备查）</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15</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8"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服务人员</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项目实施与服务人员应不少于 </w:t>
            </w:r>
            <w:r>
              <w:rPr>
                <w:rFonts w:hAnsi="宋体"/>
                <w:color w:val="000000" w:themeColor="text1"/>
                <w:sz w:val="21"/>
                <w14:textFill>
                  <w14:solidFill>
                    <w14:schemeClr w14:val="tx1"/>
                  </w14:solidFill>
                </w14:textFill>
              </w:rPr>
              <w:t>3</w:t>
            </w:r>
            <w:r>
              <w:rPr>
                <w:rFonts w:hint="eastAsia" w:hAnsi="宋体"/>
                <w:color w:val="000000" w:themeColor="text1"/>
                <w:sz w:val="21"/>
                <w14:textFill>
                  <w14:solidFill>
                    <w14:schemeClr w14:val="tx1"/>
                  </w14:solidFill>
                </w14:textFill>
              </w:rPr>
              <w:t xml:space="preserve">人，且实施与服务人员中需要有具备省部级安全获奖证书或授聘专家证书或 </w:t>
            </w:r>
            <w:r>
              <w:rPr>
                <w:rFonts w:hAnsi="宋体"/>
                <w:color w:val="000000" w:themeColor="text1"/>
                <w:sz w:val="21"/>
                <w14:textFill>
                  <w14:solidFill>
                    <w14:schemeClr w14:val="tx1"/>
                  </w14:solidFill>
                </w14:textFill>
              </w:rPr>
              <w:t xml:space="preserve">ITIL </w:t>
            </w:r>
            <w:r>
              <w:rPr>
                <w:rFonts w:hint="eastAsia" w:hAnsi="宋体"/>
                <w:color w:val="000000" w:themeColor="text1"/>
                <w:sz w:val="21"/>
                <w14:textFill>
                  <w14:solidFill>
                    <w14:schemeClr w14:val="tx1"/>
                  </w14:solidFill>
                </w14:textFill>
              </w:rPr>
              <w:t xml:space="preserve">证书或 </w:t>
            </w:r>
            <w:r>
              <w:rPr>
                <w:rFonts w:hAnsi="宋体"/>
                <w:color w:val="000000" w:themeColor="text1"/>
                <w:sz w:val="21"/>
                <w14:textFill>
                  <w14:solidFill>
                    <w14:schemeClr w14:val="tx1"/>
                  </w14:solidFill>
                </w14:textFill>
              </w:rPr>
              <w:t xml:space="preserve">CCIE </w:t>
            </w:r>
            <w:r>
              <w:rPr>
                <w:rFonts w:hint="eastAsia" w:hAnsi="宋体"/>
                <w:color w:val="000000" w:themeColor="text1"/>
                <w:sz w:val="21"/>
                <w14:textFill>
                  <w14:solidFill>
                    <w14:schemeClr w14:val="tx1"/>
                  </w14:solidFill>
                </w14:textFill>
              </w:rPr>
              <w:t>证书的人员。</w:t>
            </w:r>
          </w:p>
          <w:p>
            <w:pPr>
              <w:pStyle w:val="16"/>
              <w:pBdr>
                <w:bottom w:val="none" w:color="auto" w:sz="0" w:space="0"/>
              </w:pBdr>
              <w:tabs>
                <w:tab w:val="clear" w:pos="4153"/>
                <w:tab w:val="clear" w:pos="8306"/>
              </w:tabs>
              <w:jc w:val="both"/>
              <w:rPr>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（需提供相关实施人员的证书复印件及近 </w:t>
            </w:r>
            <w:r>
              <w:rPr>
                <w:rFonts w:hAnsi="宋体"/>
                <w:color w:val="000000" w:themeColor="text1"/>
                <w:sz w:val="21"/>
                <w14:textFill>
                  <w14:solidFill>
                    <w14:schemeClr w14:val="tx1"/>
                  </w14:solidFill>
                </w14:textFill>
              </w:rPr>
              <w:t xml:space="preserve">1 </w:t>
            </w:r>
            <w:r>
              <w:rPr>
                <w:rFonts w:hint="eastAsia" w:hAnsi="宋体"/>
                <w:color w:val="000000" w:themeColor="text1"/>
                <w:sz w:val="21"/>
                <w14:textFill>
                  <w14:solidFill>
                    <w14:schemeClr w14:val="tx1"/>
                  </w14:solidFill>
                </w14:textFill>
              </w:rPr>
              <w:t xml:space="preserve">年企业社保证明，少于 </w:t>
            </w:r>
            <w:r>
              <w:rPr>
                <w:rFonts w:hAnsi="宋体"/>
                <w:color w:val="000000" w:themeColor="text1"/>
                <w:sz w:val="21"/>
                <w14:textFill>
                  <w14:solidFill>
                    <w14:schemeClr w14:val="tx1"/>
                  </w14:solidFill>
                </w14:textFill>
              </w:rPr>
              <w:t>3</w:t>
            </w:r>
            <w:r>
              <w:rPr>
                <w:rFonts w:hint="eastAsia" w:hAnsi="宋体"/>
                <w:color w:val="000000" w:themeColor="text1"/>
                <w:sz w:val="21"/>
                <w14:textFill>
                  <w14:solidFill>
                    <w14:schemeClr w14:val="tx1"/>
                  </w14:solidFill>
                </w14:textFill>
              </w:rPr>
              <w:t xml:space="preserve">人不得分，超过 </w:t>
            </w:r>
            <w:r>
              <w:rPr>
                <w:rFonts w:hAnsi="宋体"/>
                <w:color w:val="000000" w:themeColor="text1"/>
                <w:sz w:val="21"/>
                <w14:textFill>
                  <w14:solidFill>
                    <w14:schemeClr w14:val="tx1"/>
                  </w14:solidFill>
                </w14:textFill>
              </w:rPr>
              <w:t xml:space="preserve">3 </w:t>
            </w:r>
            <w:r>
              <w:rPr>
                <w:rFonts w:hint="eastAsia" w:hAnsi="宋体"/>
                <w:color w:val="000000" w:themeColor="text1"/>
                <w:sz w:val="21"/>
                <w14:textFill>
                  <w14:solidFill>
                    <w14:schemeClr w14:val="tx1"/>
                  </w14:solidFill>
                </w14:textFill>
              </w:rPr>
              <w:t xml:space="preserve">人每提供 </w:t>
            </w:r>
            <w:r>
              <w:rPr>
                <w:rFonts w:hAnsi="宋体"/>
                <w:color w:val="000000" w:themeColor="text1"/>
                <w:sz w:val="21"/>
                <w14:textFill>
                  <w14:solidFill>
                    <w14:schemeClr w14:val="tx1"/>
                  </w14:solidFill>
                </w14:textFill>
              </w:rPr>
              <w:t xml:space="preserve">1 </w:t>
            </w:r>
            <w:r>
              <w:rPr>
                <w:rFonts w:hint="eastAsia" w:hAnsi="宋体"/>
                <w:color w:val="000000" w:themeColor="text1"/>
                <w:sz w:val="21"/>
                <w14:textFill>
                  <w14:solidFill>
                    <w14:schemeClr w14:val="tx1"/>
                  </w14:solidFill>
                </w14:textFill>
              </w:rPr>
              <w:t xml:space="preserve">个具有上述证书及投标单位社保证明人员的得 </w:t>
            </w:r>
            <w:r>
              <w:rPr>
                <w:rFonts w:hAnsi="宋体"/>
                <w:color w:val="000000" w:themeColor="text1"/>
                <w:sz w:val="21"/>
                <w14:textFill>
                  <w14:solidFill>
                    <w14:schemeClr w14:val="tx1"/>
                  </w14:solidFill>
                </w14:textFill>
              </w:rPr>
              <w:t xml:space="preserve">1 </w:t>
            </w:r>
            <w:r>
              <w:rPr>
                <w:rFonts w:hint="eastAsia" w:hAnsi="宋体"/>
                <w:color w:val="000000" w:themeColor="text1"/>
                <w:sz w:val="21"/>
                <w14:textFill>
                  <w14:solidFill>
                    <w14:schemeClr w14:val="tx1"/>
                  </w14:solidFill>
                </w14:textFill>
              </w:rPr>
              <w:t xml:space="preserve">分，最高 </w:t>
            </w:r>
            <w:r>
              <w:rPr>
                <w:rFonts w:hAnsi="宋体"/>
                <w:color w:val="000000" w:themeColor="text1"/>
                <w:sz w:val="21"/>
                <w14:textFill>
                  <w14:solidFill>
                    <w14:schemeClr w14:val="tx1"/>
                  </w14:solidFill>
                </w14:textFill>
              </w:rPr>
              <w:t xml:space="preserve">3 </w:t>
            </w:r>
            <w:r>
              <w:rPr>
                <w:rFonts w:hint="eastAsia" w:hAnsi="宋体"/>
                <w:color w:val="000000" w:themeColor="text1"/>
                <w:sz w:val="21"/>
                <w14:textFill>
                  <w14:solidFill>
                    <w14:schemeClr w14:val="tx1"/>
                  </w14:solidFill>
                </w14:textFill>
              </w:rPr>
              <w:t>分）</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1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pStyle w:val="16"/>
              <w:pBdr>
                <w:bottom w:val="none" w:color="auto" w:sz="0" w:space="0"/>
              </w:pBdr>
              <w:tabs>
                <w:tab w:val="clear" w:pos="4153"/>
                <w:tab w:val="clear" w:pos="8306"/>
              </w:tabs>
              <w:jc w:val="both"/>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1</w:t>
            </w:r>
            <w:r>
              <w:rPr>
                <w:rFonts w:hint="eastAsia" w:hAnsi="宋体"/>
                <w:color w:val="000000" w:themeColor="text1"/>
                <w:sz w:val="21"/>
                <w14:textFill>
                  <w14:solidFill>
                    <w14:schemeClr w14:val="tx1"/>
                  </w14:solidFill>
                </w14:textFill>
              </w:rPr>
              <w:t>）售后服务方案：对投标单位根据招标采购需求编制的售后服务方案进行综合评定，专家根据方案内容酌情打分（</w:t>
            </w:r>
            <w:r>
              <w:rPr>
                <w:rFonts w:hAnsi="宋体"/>
                <w:color w:val="000000" w:themeColor="text1"/>
                <w:sz w:val="21"/>
                <w14:textFill>
                  <w14:solidFill>
                    <w14:schemeClr w14:val="tx1"/>
                  </w14:solidFill>
                </w14:textFill>
              </w:rPr>
              <w:t xml:space="preserve">0~4 </w:t>
            </w:r>
            <w:r>
              <w:rPr>
                <w:rFonts w:hint="eastAsia" w:hAnsi="宋体"/>
                <w:color w:val="000000" w:themeColor="text1"/>
                <w:sz w:val="21"/>
                <w14:textFill>
                  <w14:solidFill>
                    <w14:schemeClr w14:val="tx1"/>
                  </w14:solidFill>
                </w14:textFill>
              </w:rPr>
              <w:t xml:space="preserve">分） </w:t>
            </w:r>
          </w:p>
          <w:p>
            <w:pPr>
              <w:pStyle w:val="16"/>
              <w:pBdr>
                <w:bottom w:val="none" w:color="auto" w:sz="0" w:space="0"/>
              </w:pBdr>
              <w:tabs>
                <w:tab w:val="clear" w:pos="4153"/>
                <w:tab w:val="clear" w:pos="8306"/>
              </w:tabs>
              <w:jc w:val="both"/>
              <w:rPr>
                <w:color w:val="000000" w:themeColor="text1"/>
                <w14:textFill>
                  <w14:solidFill>
                    <w14:schemeClr w14:val="tx1"/>
                  </w14:solidFill>
                </w14:textFill>
              </w:rPr>
            </w:pPr>
            <w:r>
              <w:rPr>
                <w:rFonts w:hAnsi="宋体"/>
                <w:color w:val="000000" w:themeColor="text1"/>
                <w:sz w:val="21"/>
                <w14:textFill>
                  <w14:solidFill>
                    <w14:schemeClr w14:val="tx1"/>
                  </w14:solidFill>
                </w14:textFill>
              </w:rPr>
              <w:t>2</w:t>
            </w:r>
            <w:r>
              <w:rPr>
                <w:rFonts w:hint="eastAsia" w:hAnsi="宋体"/>
                <w:color w:val="000000" w:themeColor="text1"/>
                <w:sz w:val="21"/>
                <w14:textFill>
                  <w14:solidFill>
                    <w14:schemeClr w14:val="tx1"/>
                  </w14:solidFill>
                </w14:textFill>
              </w:rPr>
              <w:t xml:space="preserve">）投标单位在深圳市或广东省内建立有售后服务机构或公司，并提供办公场所 证明（投标单位注册登记资料、房产交易中心或园区租赁合同或房产 证明）。（全部提供以上 </w:t>
            </w:r>
            <w:r>
              <w:rPr>
                <w:rFonts w:hAnsi="宋体"/>
                <w:color w:val="000000" w:themeColor="text1"/>
                <w:sz w:val="21"/>
                <w14:textFill>
                  <w14:solidFill>
                    <w14:schemeClr w14:val="tx1"/>
                  </w14:solidFill>
                </w14:textFill>
              </w:rPr>
              <w:t xml:space="preserve">2 </w:t>
            </w:r>
            <w:r>
              <w:rPr>
                <w:rFonts w:hint="eastAsia" w:hAnsi="宋体"/>
                <w:color w:val="000000" w:themeColor="text1"/>
                <w:sz w:val="21"/>
                <w14:textFill>
                  <w14:solidFill>
                    <w14:schemeClr w14:val="tx1"/>
                  </w14:solidFill>
                </w14:textFill>
              </w:rPr>
              <w:t xml:space="preserve">项内容的得 </w:t>
            </w:r>
            <w:r>
              <w:rPr>
                <w:rFonts w:hAnsi="宋体"/>
                <w:color w:val="000000" w:themeColor="text1"/>
                <w:sz w:val="21"/>
                <w14:textFill>
                  <w14:solidFill>
                    <w14:schemeClr w14:val="tx1"/>
                  </w14:solidFill>
                </w14:textFill>
              </w:rPr>
              <w:t xml:space="preserve">1 </w:t>
            </w:r>
            <w:r>
              <w:rPr>
                <w:rFonts w:hint="eastAsia" w:hAnsi="宋体"/>
                <w:color w:val="000000" w:themeColor="text1"/>
                <w:sz w:val="21"/>
                <w14:textFill>
                  <w14:solidFill>
                    <w14:schemeClr w14:val="tx1"/>
                  </w14:solidFill>
                </w14:textFill>
              </w:rPr>
              <w:t>分，缺漏项不得分）</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415"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color w:val="000000" w:themeColor="text1"/>
                <w:kern w:val="0"/>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w:t>
            </w:r>
          </w:p>
        </w:tc>
        <w:tc>
          <w:tcPr>
            <w:tcW w:w="15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培训</w:t>
            </w:r>
          </w:p>
        </w:tc>
        <w:tc>
          <w:tcPr>
            <w:tcW w:w="4148" w:type="dxa"/>
            <w:tcBorders>
              <w:top w:val="single" w:color="auto" w:sz="4" w:space="0"/>
              <w:left w:val="single" w:color="auto" w:sz="4" w:space="0"/>
              <w:bottom w:val="single" w:color="auto" w:sz="4" w:space="0"/>
              <w:right w:val="single" w:color="auto" w:sz="4" w:space="0"/>
              <w:tl2br w:val="nil"/>
              <w:tr2bl w:val="nil"/>
            </w:tcBorders>
            <w:vAlign w:val="center"/>
          </w:tcPr>
          <w:p>
            <w:pPr>
              <w:pStyle w:val="16"/>
              <w:pBdr>
                <w:bottom w:val="none" w:color="auto" w:sz="0" w:space="0"/>
              </w:pBdr>
              <w:tabs>
                <w:tab w:val="clear" w:pos="4153"/>
                <w:tab w:val="clear" w:pos="8306"/>
              </w:tabs>
              <w:jc w:val="both"/>
              <w:rPr>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培训措施：针对本项目培训要求能提供相关培训视频（光盘）、电子文件（文档目录）、纸质说明书、在线课程平台软件及课件截图（提 供链接）。（全部提供以上 </w:t>
            </w:r>
            <w:r>
              <w:rPr>
                <w:rFonts w:hAnsi="宋体"/>
                <w:color w:val="000000" w:themeColor="text1"/>
                <w:sz w:val="21"/>
                <w14:textFill>
                  <w14:solidFill>
                    <w14:schemeClr w14:val="tx1"/>
                  </w14:solidFill>
                </w14:textFill>
              </w:rPr>
              <w:t xml:space="preserve">4 </w:t>
            </w:r>
            <w:r>
              <w:rPr>
                <w:rFonts w:hint="eastAsia" w:hAnsi="宋体"/>
                <w:color w:val="000000" w:themeColor="text1"/>
                <w:sz w:val="21"/>
                <w14:textFill>
                  <w14:solidFill>
                    <w14:schemeClr w14:val="tx1"/>
                  </w14:solidFill>
                </w14:textFill>
              </w:rPr>
              <w:t xml:space="preserve">项内容的得 </w:t>
            </w:r>
            <w:r>
              <w:rPr>
                <w:rFonts w:hAnsi="宋体"/>
                <w:color w:val="000000" w:themeColor="text1"/>
                <w:sz w:val="21"/>
                <w14:textFill>
                  <w14:solidFill>
                    <w14:schemeClr w14:val="tx1"/>
                  </w14:solidFill>
                </w14:textFill>
              </w:rPr>
              <w:t xml:space="preserve">2 </w:t>
            </w:r>
            <w:r>
              <w:rPr>
                <w:rFonts w:hint="eastAsia" w:hAnsi="宋体"/>
                <w:color w:val="000000" w:themeColor="text1"/>
                <w:sz w:val="21"/>
                <w14:textFill>
                  <w14:solidFill>
                    <w14:schemeClr w14:val="tx1"/>
                  </w14:solidFill>
                </w14:textFill>
              </w:rPr>
              <w:t>分，缺漏项不得分）</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78" w:lineRule="atLeast"/>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专家打分</w:t>
            </w:r>
          </w:p>
        </w:tc>
      </w:tr>
    </w:tbl>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注：1. 有取值范围的，含下限值，不含上限值。每一项的得分均不能超过该项最高分值。</w:t>
      </w:r>
    </w:p>
    <w:p>
      <w:pPr>
        <w:ind w:firstLine="821" w:firstLineChars="391"/>
        <w:rPr>
          <w:color w:val="000000" w:themeColor="text1"/>
          <w14:textFill>
            <w14:solidFill>
              <w14:schemeClr w14:val="tx1"/>
            </w14:solidFill>
          </w14:textFill>
        </w:rPr>
      </w:pPr>
      <w:r>
        <w:rPr>
          <w:color w:val="000000" w:themeColor="text1"/>
          <w14:textFill>
            <w14:solidFill>
              <w14:schemeClr w14:val="tx1"/>
            </w14:solidFill>
          </w14:textFill>
        </w:rPr>
        <w:t>2. 缺项则该项为0分或不合格为0分。</w:t>
      </w:r>
    </w:p>
    <w:p>
      <w:pPr>
        <w:ind w:firstLine="821" w:firstLineChars="391"/>
        <w:rPr>
          <w:color w:val="000000" w:themeColor="text1"/>
          <w14:textFill>
            <w14:solidFill>
              <w14:schemeClr w14:val="tx1"/>
            </w14:solidFill>
          </w14:textFill>
        </w:rPr>
      </w:pPr>
      <w:r>
        <w:rPr>
          <w:color w:val="000000" w:themeColor="text1"/>
          <w14:textFill>
            <w14:solidFill>
              <w14:schemeClr w14:val="tx1"/>
            </w14:solidFill>
          </w14:textFill>
        </w:rPr>
        <w:t>3. 价格、技术、商务部分为针对项目具体情况设置项目，累加满分为100分。</w:t>
      </w:r>
    </w:p>
    <w:p>
      <w:pPr>
        <w:ind w:right="210" w:firstLine="821" w:firstLineChars="391"/>
        <w:jc w:val="right"/>
        <w:rPr>
          <w:snapToGrid w:val="0"/>
          <w:color w:val="000000" w:themeColor="text1"/>
          <w:kern w:val="0"/>
          <w:szCs w:val="18"/>
          <w14:textFill>
            <w14:solidFill>
              <w14:schemeClr w14:val="tx1"/>
            </w14:solidFill>
          </w14:textFill>
        </w:rPr>
      </w:pPr>
      <w:r>
        <w:rPr>
          <w:color w:val="000000" w:themeColor="text1"/>
          <w14:textFill>
            <w14:solidFill>
              <w14:schemeClr w14:val="tx1"/>
            </w14:solidFill>
          </w14:textFill>
        </w:rPr>
        <w:t>4. 综合以上</w:t>
      </w:r>
      <w:r>
        <w:rPr>
          <w:snapToGrid w:val="0"/>
          <w:color w:val="000000" w:themeColor="text1"/>
          <w:kern w:val="0"/>
          <w14:textFill>
            <w14:solidFill>
              <w14:schemeClr w14:val="tx1"/>
            </w14:solidFill>
          </w14:textFill>
        </w:rPr>
        <w:t>分析比较，评委会将对各投标文件进行书面的量化评定，得分</w:t>
      </w:r>
      <w:r>
        <w:rPr>
          <w:snapToGrid w:val="0"/>
          <w:color w:val="000000" w:themeColor="text1"/>
          <w:kern w:val="0"/>
          <w:szCs w:val="18"/>
          <w14:textFill>
            <w14:solidFill>
              <w14:schemeClr w14:val="tx1"/>
            </w14:solidFill>
          </w14:textFill>
        </w:rPr>
        <w:t>精确到小数点后两位。</w:t>
      </w:r>
    </w:p>
    <w:p>
      <w:pPr>
        <w:ind w:right="210" w:firstLine="821" w:firstLineChars="391"/>
        <w:jc w:val="right"/>
        <w:rPr>
          <w:snapToGrid w:val="0"/>
          <w:color w:val="000000" w:themeColor="text1"/>
          <w:kern w:val="0"/>
          <w:szCs w:val="18"/>
          <w14:textFill>
            <w14:solidFill>
              <w14:schemeClr w14:val="tx1"/>
            </w14:solidFill>
          </w14:textFill>
        </w:rPr>
      </w:pPr>
      <w:r>
        <w:rPr>
          <w:snapToGrid w:val="0"/>
          <w:color w:val="000000" w:themeColor="text1"/>
          <w:kern w:val="0"/>
          <w:szCs w:val="18"/>
          <w14:textFill>
            <w14:solidFill>
              <w14:schemeClr w14:val="tx1"/>
            </w14:solidFill>
          </w14:textFill>
        </w:rPr>
        <w:br w:type="page"/>
      </w:r>
    </w:p>
    <w:p>
      <w:pPr>
        <w:ind w:right="210" w:firstLine="821" w:firstLineChars="391"/>
        <w:jc w:val="right"/>
        <w:rPr>
          <w:snapToGrid w:val="0"/>
          <w:color w:val="000000" w:themeColor="text1"/>
          <w:kern w:val="0"/>
          <w:szCs w:val="18"/>
          <w14:textFill>
            <w14:solidFill>
              <w14:schemeClr w14:val="tx1"/>
            </w14:solidFill>
          </w14:textFill>
        </w:rPr>
      </w:pP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目录</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第一部分</w:t>
      </w:r>
      <w:r>
        <w:rPr>
          <w:rFonts w:hint="eastAsia" w:eastAsia="黑体"/>
          <w:color w:val="000000" w:themeColor="text1"/>
          <w:sz w:val="24"/>
          <w14:textFill>
            <w14:solidFill>
              <w14:schemeClr w14:val="tx1"/>
            </w14:solidFill>
          </w14:textFill>
        </w:rPr>
        <w:t xml:space="preserve"> </w:t>
      </w:r>
      <w:r>
        <w:rPr>
          <w:rFonts w:eastAsia="黑体"/>
          <w:color w:val="000000" w:themeColor="text1"/>
          <w:sz w:val="24"/>
          <w14:textFill>
            <w14:solidFill>
              <w14:schemeClr w14:val="tx1"/>
            </w14:solidFill>
          </w14:textFill>
        </w:rPr>
        <w:t>投标人须知</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第一章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总则</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第二章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招标文件</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第三章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投标文件的编制</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第四章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投标文件的递交</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第五章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开标</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第六章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评标要求</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第七章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评标程序及评标方法</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第八章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公开招标失败的后续处理</w:t>
      </w:r>
    </w:p>
    <w:p>
      <w:pPr>
        <w:numPr>
          <w:ilvl w:val="1"/>
          <w:numId w:val="0"/>
        </w:numPr>
        <w:tabs>
          <w:tab w:val="left" w:pos="360"/>
        </w:tabs>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第九章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合同的授予</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第二部分</w:t>
      </w:r>
      <w:r>
        <w:rPr>
          <w:rFonts w:hint="eastAsia" w:eastAsia="黑体"/>
          <w:color w:val="000000" w:themeColor="text1"/>
          <w:sz w:val="24"/>
          <w14:textFill>
            <w14:solidFill>
              <w14:schemeClr w14:val="tx1"/>
            </w14:solidFill>
          </w14:textFill>
        </w:rPr>
        <w:t xml:space="preserve"> </w:t>
      </w:r>
      <w:r>
        <w:rPr>
          <w:rFonts w:eastAsia="黑体"/>
          <w:color w:val="000000" w:themeColor="text1"/>
          <w:sz w:val="24"/>
          <w14:textFill>
            <w14:solidFill>
              <w14:schemeClr w14:val="tx1"/>
            </w14:solidFill>
          </w14:textFill>
        </w:rPr>
        <w:t>招标项目需求</w:t>
      </w:r>
    </w:p>
    <w:p>
      <w:pPr>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第一章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招标公告</w:t>
      </w:r>
    </w:p>
    <w:p>
      <w:pPr>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第二章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项目需求</w:t>
      </w:r>
    </w:p>
    <w:p>
      <w:pPr>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第三章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项目清单</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第三部分</w:t>
      </w:r>
      <w:r>
        <w:rPr>
          <w:rFonts w:hint="eastAsia" w:eastAsia="黑体"/>
          <w:color w:val="000000" w:themeColor="text1"/>
          <w:sz w:val="24"/>
          <w14:textFill>
            <w14:solidFill>
              <w14:schemeClr w14:val="tx1"/>
            </w14:solidFill>
          </w14:textFill>
        </w:rPr>
        <w:t xml:space="preserve"> </w:t>
      </w:r>
      <w:r>
        <w:rPr>
          <w:rFonts w:eastAsia="黑体"/>
          <w:color w:val="000000" w:themeColor="text1"/>
          <w:sz w:val="24"/>
          <w14:textFill>
            <w14:solidFill>
              <w14:schemeClr w14:val="tx1"/>
            </w14:solidFill>
          </w14:textFill>
        </w:rPr>
        <w:t>格式及附件</w:t>
      </w:r>
    </w:p>
    <w:p>
      <w:pPr>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第一章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合同条款及格式</w:t>
      </w:r>
    </w:p>
    <w:p>
      <w:pPr>
        <w:spacing w:line="360" w:lineRule="auto"/>
        <w:ind w:firstLine="540" w:firstLineChars="225"/>
        <w:rPr>
          <w:color w:val="000000" w:themeColor="text1"/>
          <w:sz w:val="24"/>
          <w14:textFill>
            <w14:solidFill>
              <w14:schemeClr w14:val="tx1"/>
            </w14:solidFill>
          </w14:textFill>
        </w:rPr>
      </w:pPr>
      <w:r>
        <w:rPr>
          <w:color w:val="000000" w:themeColor="text1"/>
          <w:sz w:val="24"/>
          <w14:textFill>
            <w14:solidFill>
              <w14:schemeClr w14:val="tx1"/>
            </w14:solidFill>
          </w14:textFill>
        </w:rPr>
        <w:t>第二章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投标文件的格式、附件</w:t>
      </w:r>
    </w:p>
    <w:p>
      <w:pPr>
        <w:spacing w:line="360" w:lineRule="auto"/>
        <w:rPr>
          <w:rFonts w:eastAsia="黑体"/>
          <w:b/>
          <w:color w:val="000000" w:themeColor="text1"/>
          <w:sz w:val="24"/>
          <w14:textFill>
            <w14:solidFill>
              <w14:schemeClr w14:val="tx1"/>
            </w14:solidFill>
          </w14:textFill>
        </w:rPr>
      </w:pPr>
    </w:p>
    <w:p>
      <w:pPr>
        <w:spacing w:line="360" w:lineRule="auto"/>
        <w:rPr>
          <w:rFonts w:eastAsia="黑体"/>
          <w:b/>
          <w:color w:val="000000" w:themeColor="text1"/>
          <w:sz w:val="24"/>
          <w14:textFill>
            <w14:solidFill>
              <w14:schemeClr w14:val="tx1"/>
            </w14:solidFill>
          </w14:textFill>
        </w:rPr>
        <w:sectPr>
          <w:pgSz w:w="11906" w:h="16838"/>
          <w:pgMar w:top="1134" w:right="1134" w:bottom="1134" w:left="1134" w:header="851" w:footer="992" w:gutter="0"/>
          <w:cols w:space="425" w:num="1"/>
          <w:docGrid w:type="lines" w:linePitch="312" w:charSpace="0"/>
        </w:sectPr>
      </w:pPr>
    </w:p>
    <w:p>
      <w:pPr>
        <w:pStyle w:val="21"/>
        <w:spacing w:before="120" w:after="120"/>
        <w:rPr>
          <w:rFonts w:ascii="Times New Roman" w:hAnsi="Times New Roman"/>
          <w:b w:val="0"/>
          <w:color w:val="000000" w:themeColor="text1"/>
          <w14:textFill>
            <w14:solidFill>
              <w14:schemeClr w14:val="tx1"/>
            </w14:solidFill>
          </w14:textFill>
        </w:rPr>
      </w:pPr>
      <w:r>
        <w:rPr>
          <w:rFonts w:ascii="Times New Roman" w:hAnsi="Times New Roman" w:eastAsia="黑体"/>
          <w:b w:val="0"/>
          <w:color w:val="000000" w:themeColor="text1"/>
          <w:sz w:val="44"/>
          <w14:textFill>
            <w14:solidFill>
              <w14:schemeClr w14:val="tx1"/>
            </w14:solidFill>
          </w14:textFill>
        </w:rPr>
        <w:t>第一部分</w:t>
      </w:r>
      <w:r>
        <w:rPr>
          <w:rFonts w:hint="eastAsia" w:ascii="Times New Roman" w:hAnsi="Times New Roman" w:eastAsia="黑体"/>
          <w:b w:val="0"/>
          <w:color w:val="000000" w:themeColor="text1"/>
          <w:sz w:val="44"/>
          <w14:textFill>
            <w14:solidFill>
              <w14:schemeClr w14:val="tx1"/>
            </w14:solidFill>
          </w14:textFill>
        </w:rPr>
        <w:t xml:space="preserve"> </w:t>
      </w:r>
      <w:r>
        <w:rPr>
          <w:rFonts w:ascii="Times New Roman" w:hAnsi="Times New Roman" w:eastAsia="黑体"/>
          <w:b w:val="0"/>
          <w:color w:val="000000" w:themeColor="text1"/>
          <w:sz w:val="44"/>
          <w14:textFill>
            <w14:solidFill>
              <w14:schemeClr w14:val="tx1"/>
            </w14:solidFill>
          </w14:textFill>
        </w:rPr>
        <w:t>投标须知</w:t>
      </w: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bookmarkStart w:id="0" w:name="bt工程概况"/>
      <w:bookmarkEnd w:id="0"/>
      <w:r>
        <w:rPr>
          <w:rFonts w:ascii="Times New Roman" w:hAnsi="Times New Roman"/>
          <w:color w:val="000000" w:themeColor="text1"/>
          <w:sz w:val="28"/>
          <w:szCs w:val="28"/>
          <w14:textFill>
            <w14:solidFill>
              <w14:schemeClr w14:val="tx1"/>
            </w14:solidFill>
          </w14:textFill>
        </w:rPr>
        <w:t>总则</w:t>
      </w:r>
    </w:p>
    <w:p>
      <w:pPr>
        <w:spacing w:line="360" w:lineRule="auto"/>
        <w:rPr>
          <w:rFonts w:eastAsia="黑体"/>
          <w:color w:val="000000" w:themeColor="text1"/>
          <w:sz w:val="24"/>
          <w14:textFill>
            <w14:solidFill>
              <w14:schemeClr w14:val="tx1"/>
            </w14:solidFill>
          </w14:textFill>
        </w:rPr>
      </w:pPr>
      <w:bookmarkStart w:id="1" w:name="_Toc73517641"/>
      <w:bookmarkStart w:id="2" w:name="_Toc60560627"/>
      <w:bookmarkStart w:id="3" w:name="_Toc60631622"/>
      <w:bookmarkStart w:id="4" w:name="_Toc73521637"/>
      <w:bookmarkStart w:id="5" w:name="_Toc73518119"/>
      <w:bookmarkStart w:id="6" w:name="_Toc100052366"/>
      <w:bookmarkStart w:id="7" w:name="_Toc73521549"/>
      <w:r>
        <w:rPr>
          <w:rFonts w:eastAsia="黑体"/>
          <w:color w:val="000000" w:themeColor="text1"/>
          <w:sz w:val="24"/>
          <w14:textFill>
            <w14:solidFill>
              <w14:schemeClr w14:val="tx1"/>
            </w14:solidFill>
          </w14:textFill>
        </w:rPr>
        <w:t>1．招标说明</w:t>
      </w:r>
      <w:bookmarkEnd w:id="1"/>
      <w:bookmarkEnd w:id="2"/>
      <w:bookmarkEnd w:id="3"/>
      <w:bookmarkEnd w:id="4"/>
      <w:bookmarkEnd w:id="5"/>
      <w:bookmarkEnd w:id="6"/>
      <w:bookmarkEnd w:id="7"/>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本项目按照</w:t>
      </w:r>
      <w:r>
        <w:rPr>
          <w:color w:val="000000" w:themeColor="text1"/>
          <w:kern w:val="0"/>
          <w:szCs w:val="21"/>
          <w14:textFill>
            <w14:solidFill>
              <w14:schemeClr w14:val="tx1"/>
            </w14:solidFill>
          </w14:textFill>
        </w:rPr>
        <w:t>《中华人民共和国政府采购法》、《深圳经济特区政府采购条例》</w:t>
      </w:r>
      <w:r>
        <w:rPr>
          <w:color w:val="000000" w:themeColor="text1"/>
          <w:szCs w:val="21"/>
          <w14:textFill>
            <w14:solidFill>
              <w14:schemeClr w14:val="tx1"/>
            </w14:solidFill>
          </w14:textFill>
        </w:rPr>
        <w:t>的规定，并参考有关法规、政策、规章、规定，通过公开招标择优选定供应商。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本招标文件适用于服务采购项目。</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本招标文件的解释权归属</w:t>
      </w:r>
      <w:r>
        <w:rPr>
          <w:rFonts w:hint="eastAsia"/>
          <w:color w:val="000000" w:themeColor="text1"/>
          <w:szCs w:val="21"/>
          <w14:textFill>
            <w14:solidFill>
              <w14:schemeClr w14:val="tx1"/>
            </w14:solidFill>
          </w14:textFill>
        </w:rPr>
        <w:t>哈尔滨工业大学深圳实验与创新实践教育中心。</w:t>
      </w:r>
    </w:p>
    <w:p>
      <w:pPr>
        <w:ind w:firstLine="411" w:firstLineChars="196"/>
        <w:rPr>
          <w:color w:val="000000" w:themeColor="text1"/>
          <w:szCs w:val="21"/>
          <w14:textFill>
            <w14:solidFill>
              <w14:schemeClr w14:val="tx1"/>
            </w14:solidFill>
          </w14:textFill>
        </w:rPr>
      </w:pPr>
      <w:bookmarkStart w:id="8" w:name="_Toc60560628"/>
      <w:bookmarkStart w:id="9" w:name="_Toc100052367"/>
      <w:bookmarkStart w:id="10" w:name="_Toc73518120"/>
      <w:bookmarkStart w:id="11" w:name="_Toc73517642"/>
      <w:bookmarkStart w:id="12" w:name="_Toc73521550"/>
      <w:bookmarkStart w:id="13" w:name="_Toc60631623"/>
      <w:bookmarkStart w:id="14" w:name="_Toc73521638"/>
      <w:r>
        <w:rPr>
          <w:rFonts w:hint="eastAsia"/>
          <w:color w:val="000000" w:themeColor="text1"/>
          <w:szCs w:val="21"/>
          <w14:textFill>
            <w14:solidFill>
              <w14:schemeClr w14:val="tx1"/>
            </w14:solidFill>
          </w14:textFill>
        </w:rPr>
        <w:t>2．定义</w:t>
      </w:r>
      <w:bookmarkEnd w:id="8"/>
      <w:bookmarkEnd w:id="9"/>
      <w:bookmarkEnd w:id="10"/>
      <w:bookmarkEnd w:id="11"/>
      <w:bookmarkEnd w:id="12"/>
      <w:bookmarkEnd w:id="13"/>
      <w:bookmarkEnd w:id="14"/>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招标文件中下列术语应解释为：</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“招标方”即</w:t>
      </w:r>
      <w:r>
        <w:rPr>
          <w:rFonts w:hint="eastAsia"/>
          <w:b/>
          <w:color w:val="000000" w:themeColor="text1"/>
          <w:szCs w:val="21"/>
          <w:u w:val="single"/>
          <w14:textFill>
            <w14:solidFill>
              <w14:schemeClr w14:val="tx1"/>
            </w14:solidFill>
          </w14:textFill>
        </w:rPr>
        <w:t>哈尔滨工业大学深圳实验与创新实践教育中心</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“投标人”或“投标方”，即供应商，是指参加投标竞争的依法成立的单位，并愿意按照招标文件要求向采购人提供货物、工程或者服务的法人、其他组织或者自然人。</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“评标委员会”是依据《深圳经济特区政府采购条例》有关规定组建的专门负责本项目评标工作的临时性机构。</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“日期”指公历日。</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“合同”指由本次招标所产生的合同或合约文件。</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 xml:space="preserve"> “纸质投标文件”指根据本招标文件模板的要求规范填写，打印输出并盖有单位公章的投标文件原件。</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“现场投标”指在规定时间内直接向</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提交纸质投标文件。</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招标文件中的标题或题名仅起引导作用，而不应视为对招标文件内容的理解和解释。</w:t>
      </w:r>
    </w:p>
    <w:p>
      <w:pPr>
        <w:spacing w:line="360" w:lineRule="auto"/>
        <w:rPr>
          <w:rFonts w:eastAsia="黑体"/>
          <w:color w:val="000000" w:themeColor="text1"/>
          <w:sz w:val="24"/>
          <w14:textFill>
            <w14:solidFill>
              <w14:schemeClr w14:val="tx1"/>
            </w14:solidFill>
          </w14:textFill>
        </w:rPr>
      </w:pPr>
      <w:bookmarkStart w:id="15" w:name="_Toc73518121"/>
      <w:bookmarkStart w:id="16" w:name="_Toc73521639"/>
      <w:bookmarkStart w:id="17" w:name="_Toc73517643"/>
      <w:bookmarkStart w:id="18" w:name="_Toc100052368"/>
      <w:bookmarkStart w:id="19" w:name="_Toc60631624"/>
      <w:bookmarkStart w:id="20" w:name="_Toc73521551"/>
      <w:bookmarkStart w:id="21" w:name="_Toc60560629"/>
      <w:r>
        <w:rPr>
          <w:rFonts w:eastAsia="黑体"/>
          <w:color w:val="000000" w:themeColor="text1"/>
          <w:sz w:val="24"/>
          <w14:textFill>
            <w14:solidFill>
              <w14:schemeClr w14:val="tx1"/>
            </w14:solidFill>
          </w14:textFill>
        </w:rPr>
        <w:t>3．投标人的资质要求</w:t>
      </w:r>
      <w:bookmarkEnd w:id="15"/>
      <w:bookmarkEnd w:id="16"/>
      <w:bookmarkEnd w:id="17"/>
      <w:bookmarkEnd w:id="18"/>
      <w:bookmarkEnd w:id="19"/>
      <w:bookmarkEnd w:id="20"/>
      <w:bookmarkEnd w:id="21"/>
    </w:p>
    <w:p>
      <w:pPr>
        <w:ind w:firstLine="411" w:firstLineChars="196"/>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3.1  参加政府采购活动投标人应当具备条件：</w:t>
      </w:r>
      <w:r>
        <w:rPr>
          <w:b/>
          <w:bCs/>
          <w:color w:val="000000" w:themeColor="text1"/>
          <w:szCs w:val="21"/>
          <w14:textFill>
            <w14:solidFill>
              <w14:schemeClr w14:val="tx1"/>
            </w14:solidFill>
          </w14:textFill>
        </w:rPr>
        <w:t>（见招标公告有关资质要求）</w:t>
      </w:r>
    </w:p>
    <w:p>
      <w:pPr>
        <w:rPr>
          <w:color w:val="000000" w:themeColor="text1"/>
          <w:szCs w:val="21"/>
          <w14:textFill>
            <w14:solidFill>
              <w14:schemeClr w14:val="tx1"/>
            </w14:solidFill>
          </w14:textFill>
        </w:rPr>
      </w:pPr>
      <w:bookmarkStart w:id="22" w:name="_Toc73517645"/>
      <w:bookmarkStart w:id="23" w:name="_Toc100052370"/>
      <w:bookmarkStart w:id="24" w:name="_Toc60631626"/>
      <w:bookmarkStart w:id="25" w:name="_Toc60560631"/>
      <w:bookmarkStart w:id="26" w:name="_Toc73521641"/>
      <w:bookmarkStart w:id="27" w:name="_Toc73518123"/>
      <w:bookmarkStart w:id="28" w:name="_Toc73521553"/>
      <w:r>
        <w:rPr>
          <w:rFonts w:eastAsia="黑体"/>
          <w:color w:val="000000" w:themeColor="text1"/>
          <w:sz w:val="24"/>
          <w14:textFill>
            <w14:solidFill>
              <w14:schemeClr w14:val="tx1"/>
            </w14:solidFill>
          </w14:textFill>
        </w:rPr>
        <w:t>4．联合体投标</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4.1 除非招标公告中允许投标人组成联合体投标，否则以下有关联合体投标的条款不予考虑。</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 由两个或两个以上法人组成一个联合体以一个投标人的身份共同投标时，应符合以下原则：</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4.2.1投标联合体各方参加政府采购活动应当具备下列条件：</w:t>
      </w:r>
    </w:p>
    <w:p>
      <w:pPr>
        <w:ind w:left="420" w:leftChars="200" w:firstLine="411" w:firstLineChars="196"/>
        <w:rPr>
          <w:color w:val="000000" w:themeColor="text1"/>
          <w14:textFill>
            <w14:solidFill>
              <w14:schemeClr w14:val="tx1"/>
            </w14:solidFill>
          </w14:textFill>
        </w:rPr>
      </w:pPr>
      <w:r>
        <w:rPr>
          <w:rFonts w:ascii="宋体"/>
          <w:color w:val="000000" w:themeColor="text1"/>
          <w14:textFill>
            <w14:solidFill>
              <w14:schemeClr w14:val="tx1"/>
            </w14:solidFill>
          </w14:textFill>
        </w:rPr>
        <w:t>①</w:t>
      </w:r>
      <w:r>
        <w:rPr>
          <w:color w:val="000000" w:themeColor="text1"/>
          <w14:textFill>
            <w14:solidFill>
              <w14:schemeClr w14:val="tx1"/>
            </w14:solidFill>
          </w14:textFill>
        </w:rPr>
        <w:t>具有独立承担民事责任的能力；</w:t>
      </w:r>
    </w:p>
    <w:p>
      <w:pPr>
        <w:ind w:left="420" w:firstLine="411" w:firstLineChars="196"/>
        <w:rPr>
          <w:color w:val="000000" w:themeColor="text1"/>
          <w14:textFill>
            <w14:solidFill>
              <w14:schemeClr w14:val="tx1"/>
            </w14:solidFill>
          </w14:textFill>
        </w:rPr>
      </w:pPr>
      <w:r>
        <w:rPr>
          <w:rFonts w:ascii="宋体"/>
          <w:color w:val="000000" w:themeColor="text1"/>
          <w14:textFill>
            <w14:solidFill>
              <w14:schemeClr w14:val="tx1"/>
            </w14:solidFill>
          </w14:textFill>
        </w:rPr>
        <w:t>②</w:t>
      </w:r>
      <w:r>
        <w:rPr>
          <w:color w:val="000000" w:themeColor="text1"/>
          <w14:textFill>
            <w14:solidFill>
              <w14:schemeClr w14:val="tx1"/>
            </w14:solidFill>
          </w14:textFill>
        </w:rPr>
        <w:t>有良好的商业信誉和健全的财务会计制度；</w:t>
      </w:r>
    </w:p>
    <w:p>
      <w:pPr>
        <w:ind w:left="420" w:leftChars="200" w:firstLine="411" w:firstLineChars="196"/>
        <w:rPr>
          <w:color w:val="000000" w:themeColor="text1"/>
          <w14:textFill>
            <w14:solidFill>
              <w14:schemeClr w14:val="tx1"/>
            </w14:solidFill>
          </w14:textFill>
        </w:rPr>
      </w:pPr>
      <w:r>
        <w:rPr>
          <w:rFonts w:ascii="宋体"/>
          <w:color w:val="000000" w:themeColor="text1"/>
          <w14:textFill>
            <w14:solidFill>
              <w14:schemeClr w14:val="tx1"/>
            </w14:solidFill>
          </w14:textFill>
        </w:rPr>
        <w:t>③</w:t>
      </w:r>
      <w:r>
        <w:rPr>
          <w:color w:val="000000" w:themeColor="text1"/>
          <w14:textFill>
            <w14:solidFill>
              <w14:schemeClr w14:val="tx1"/>
            </w14:solidFill>
          </w14:textFill>
        </w:rPr>
        <w:t>具有履行合同所必需的产品和专业技术能力；</w:t>
      </w:r>
    </w:p>
    <w:p>
      <w:pPr>
        <w:ind w:left="420" w:leftChars="200" w:firstLine="411" w:firstLineChars="196"/>
        <w:rPr>
          <w:color w:val="000000" w:themeColor="text1"/>
          <w14:textFill>
            <w14:solidFill>
              <w14:schemeClr w14:val="tx1"/>
            </w14:solidFill>
          </w14:textFill>
        </w:rPr>
      </w:pPr>
      <w:r>
        <w:rPr>
          <w:rFonts w:ascii="宋体"/>
          <w:color w:val="000000" w:themeColor="text1"/>
          <w14:textFill>
            <w14:solidFill>
              <w14:schemeClr w14:val="tx1"/>
            </w14:solidFill>
          </w14:textFill>
        </w:rPr>
        <w:t>④</w:t>
      </w:r>
      <w:r>
        <w:rPr>
          <w:color w:val="000000" w:themeColor="text1"/>
          <w14:textFill>
            <w14:solidFill>
              <w14:schemeClr w14:val="tx1"/>
            </w14:solidFill>
          </w14:textFill>
        </w:rPr>
        <w:t>有依法缴纳税收和社会保障资金的良好记录；</w:t>
      </w:r>
    </w:p>
    <w:p>
      <w:pPr>
        <w:ind w:left="420" w:leftChars="200" w:firstLine="411" w:firstLineChars="196"/>
        <w:rPr>
          <w:color w:val="000000" w:themeColor="text1"/>
          <w14:textFill>
            <w14:solidFill>
              <w14:schemeClr w14:val="tx1"/>
            </w14:solidFill>
          </w14:textFill>
        </w:rPr>
      </w:pPr>
      <w:r>
        <w:rPr>
          <w:rFonts w:ascii="宋体"/>
          <w:color w:val="000000" w:themeColor="text1"/>
          <w14:textFill>
            <w14:solidFill>
              <w14:schemeClr w14:val="tx1"/>
            </w14:solidFill>
          </w14:textFill>
        </w:rPr>
        <w:t>⑤</w:t>
      </w:r>
      <w:r>
        <w:rPr>
          <w:color w:val="000000" w:themeColor="text1"/>
          <w14:textFill>
            <w14:solidFill>
              <w14:schemeClr w14:val="tx1"/>
            </w14:solidFill>
          </w14:textFill>
        </w:rPr>
        <w:t>参加政府采购活动前三年内，在经营活动中没有重大违法记录；</w:t>
      </w:r>
    </w:p>
    <w:p>
      <w:pPr>
        <w:ind w:left="420" w:leftChars="200" w:firstLine="411" w:firstLineChars="196"/>
        <w:rPr>
          <w:color w:val="000000" w:themeColor="text1"/>
          <w14:textFill>
            <w14:solidFill>
              <w14:schemeClr w14:val="tx1"/>
            </w14:solidFill>
          </w14:textFill>
        </w:rPr>
      </w:pPr>
      <w:r>
        <w:rPr>
          <w:rFonts w:ascii="宋体"/>
          <w:color w:val="000000" w:themeColor="text1"/>
          <w14:textFill>
            <w14:solidFill>
              <w14:schemeClr w14:val="tx1"/>
            </w14:solidFill>
          </w14:textFill>
        </w:rPr>
        <w:t>⑥</w:t>
      </w:r>
      <w:r>
        <w:rPr>
          <w:color w:val="000000" w:themeColor="text1"/>
          <w14:textFill>
            <w14:solidFill>
              <w14:schemeClr w14:val="tx1"/>
            </w14:solidFill>
          </w14:textFill>
        </w:rPr>
        <w:t>法律、行政法规规定的其他条件。</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4.2.2投标联合体各方必须有一方先行注册成深圳市网上政府采购供应商；</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4.2.3对于招标公告中所要求投标人应具有的某一资质，若联合体各方均具有，则将以联合体各方中最低的资质等级作为联合体在这一资质条件上的资质等级；联合体各方的不同资质可优势互补。</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4.2.4投标人的投标文件及中标后签署的合同协议对联合体各方均具法律约束力；</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4.2.5联合体各方应当签订共同投标协议，明确约定各方拟承担的工作和责任，并将该共同投标协议随投标文件一并递交给</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4.2.6联合体中标后，联合体各方应当共同与</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签订合同，就中标项目向</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承担连带责任；</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4.2.7联合体的各方应当共同推荐一联合体投标授权代表人，由联合体各方提交一份授权书，证明其有资格代表联合体各方签署投标文件，该授权书作为投标文件的组成部分一并提交给</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4.2.8参加联合体的各方不得再以自己的名义单独投标，不得同时参加两个或两个以上的联合体投标、不得以分包商或其它形式参与投标，出现上述情况者，其投标和与此有关联合体、总包单位的投标将被拒绝；</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4.2.9除非另有规定或说明，本须知中“投标人”一词亦指联合体各方。</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5．投标费用</w:t>
      </w:r>
      <w:bookmarkEnd w:id="22"/>
      <w:bookmarkEnd w:id="23"/>
      <w:bookmarkEnd w:id="24"/>
      <w:bookmarkEnd w:id="25"/>
      <w:bookmarkEnd w:id="26"/>
      <w:bookmarkEnd w:id="27"/>
      <w:bookmarkEnd w:id="28"/>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不论投标结果如何，投标人应承担其编制投标文件与递交投标文件所涉及的一切费用。</w:t>
      </w:r>
    </w:p>
    <w:p>
      <w:pPr>
        <w:spacing w:line="360" w:lineRule="auto"/>
        <w:rPr>
          <w:rFonts w:eastAsia="黑体"/>
          <w:color w:val="000000" w:themeColor="text1"/>
          <w:sz w:val="24"/>
          <w14:textFill>
            <w14:solidFill>
              <w14:schemeClr w14:val="tx1"/>
            </w14:solidFill>
          </w14:textFill>
        </w:rPr>
      </w:pPr>
      <w:bookmarkStart w:id="29" w:name="_Toc100052371"/>
      <w:bookmarkStart w:id="30" w:name="_Toc60560632"/>
      <w:bookmarkStart w:id="31" w:name="_Toc73518124"/>
      <w:bookmarkStart w:id="32" w:name="_Toc73517646"/>
      <w:bookmarkStart w:id="33" w:name="_Toc60631627"/>
      <w:bookmarkStart w:id="34" w:name="_Toc73521554"/>
      <w:bookmarkStart w:id="35" w:name="_Toc73521642"/>
      <w:r>
        <w:rPr>
          <w:rFonts w:eastAsia="黑体"/>
          <w:color w:val="000000" w:themeColor="text1"/>
          <w:sz w:val="24"/>
          <w14:textFill>
            <w14:solidFill>
              <w14:schemeClr w14:val="tx1"/>
            </w14:solidFill>
          </w14:textFill>
        </w:rPr>
        <w:t>6．踏勘现场</w:t>
      </w:r>
      <w:bookmarkEnd w:id="29"/>
      <w:bookmarkEnd w:id="30"/>
      <w:bookmarkEnd w:id="31"/>
      <w:bookmarkEnd w:id="32"/>
      <w:bookmarkEnd w:id="33"/>
      <w:bookmarkEnd w:id="34"/>
      <w:bookmarkEnd w:id="35"/>
    </w:p>
    <w:p>
      <w:pPr>
        <w:ind w:firstLine="411" w:firstLineChars="196"/>
        <w:rPr>
          <w:color w:val="000000" w:themeColor="text1"/>
          <w14:textFill>
            <w14:solidFill>
              <w14:schemeClr w14:val="tx1"/>
            </w14:solidFill>
          </w14:textFill>
        </w:rPr>
      </w:pPr>
      <w:bookmarkStart w:id="36" w:name="_Toc78260681"/>
      <w:bookmarkStart w:id="37" w:name="_Toc100052372"/>
      <w:r>
        <w:rPr>
          <w:color w:val="000000" w:themeColor="text1"/>
          <w14:textFill>
            <w14:solidFill>
              <w14:schemeClr w14:val="tx1"/>
            </w14:solidFill>
          </w14:textFill>
        </w:rPr>
        <w:t>6.1如有需要，</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将组织投标人对项目现场及周围环境进行踏勘，以便投标人获取有关编制投标文件和签署合同所需的所有资料。踏勘现场所发生的费用由投标人自己承担，投标人应按采购公告所约定的时间、地点统一踏勘现场。</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6.2投标人及其人员经过</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的允许，可以踏勘目的进入</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的项目现场。投标人未参与统一组织踏勘现场的，</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有权拒绝其进入项目现场。</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6.3</w:t>
      </w:r>
      <w:r>
        <w:rPr>
          <w:rFonts w:hint="eastAsia"/>
          <w:color w:val="000000" w:themeColor="text1"/>
          <w14:textFill>
            <w14:solidFill>
              <w14:schemeClr w14:val="tx1"/>
            </w14:solidFill>
          </w14:textFill>
        </w:rPr>
        <w:t>招标方须按有关规定</w:t>
      </w:r>
      <w:r>
        <w:rPr>
          <w:color w:val="000000" w:themeColor="text1"/>
          <w14:textFill>
            <w14:solidFill>
              <w14:schemeClr w14:val="tx1"/>
            </w14:solidFill>
          </w14:textFill>
        </w:rPr>
        <w:t>向投标人提供有关现场的资料和数据。</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6.4任何人或任何组织在踏勘现场时向投标人提交的任何书面或口头上的资料，未经</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在网上发布或书面通知，均作无效处理。</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对投标人由此而做出的推论、理解和结论概不负责。</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6.5 未参与现场踏勘不作为否定投标人资格的理由。</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7．招标</w:t>
      </w:r>
      <w:bookmarkEnd w:id="36"/>
      <w:r>
        <w:rPr>
          <w:rFonts w:eastAsia="黑体"/>
          <w:color w:val="000000" w:themeColor="text1"/>
          <w:sz w:val="24"/>
          <w14:textFill>
            <w14:solidFill>
              <w14:schemeClr w14:val="tx1"/>
            </w14:solidFill>
          </w14:textFill>
        </w:rPr>
        <w:t>答疑</w:t>
      </w:r>
      <w:bookmarkEnd w:id="37"/>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7.1 任何要求对招标文件进行澄清的投标人，均应于“招标公告”中所述答疑截止时间前通知</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对规定时间内收到的对招标文件的澄清，视情况予以答复。具体答疑方式请见本招标文件第二部分第一章之规定。</w:t>
      </w: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bookmarkStart w:id="38" w:name="bt招标文件"/>
      <w:bookmarkEnd w:id="38"/>
      <w:bookmarkStart w:id="39" w:name="_Toc73521644"/>
      <w:bookmarkStart w:id="40" w:name="_Toc101074878"/>
      <w:bookmarkStart w:id="41" w:name="_Toc73518126"/>
      <w:bookmarkStart w:id="42" w:name="_Toc100052373"/>
      <w:bookmarkStart w:id="43" w:name="_Toc73521556"/>
      <w:bookmarkStart w:id="44" w:name="_Toc73517648"/>
      <w:r>
        <w:rPr>
          <w:rFonts w:ascii="Times New Roman" w:hAnsi="Times New Roman"/>
          <w:color w:val="000000" w:themeColor="text1"/>
          <w:sz w:val="28"/>
          <w:szCs w:val="28"/>
          <w14:textFill>
            <w14:solidFill>
              <w14:schemeClr w14:val="tx1"/>
            </w14:solidFill>
          </w14:textFill>
        </w:rPr>
        <w:t>招标文件</w:t>
      </w:r>
      <w:bookmarkEnd w:id="39"/>
      <w:bookmarkEnd w:id="40"/>
      <w:bookmarkEnd w:id="41"/>
      <w:bookmarkEnd w:id="42"/>
      <w:bookmarkEnd w:id="43"/>
      <w:bookmarkEnd w:id="44"/>
    </w:p>
    <w:p>
      <w:pPr>
        <w:spacing w:line="360" w:lineRule="auto"/>
        <w:rPr>
          <w:rFonts w:eastAsia="黑体"/>
          <w:color w:val="000000" w:themeColor="text1"/>
          <w:sz w:val="24"/>
          <w14:textFill>
            <w14:solidFill>
              <w14:schemeClr w14:val="tx1"/>
            </w14:solidFill>
          </w14:textFill>
        </w:rPr>
      </w:pPr>
      <w:bookmarkStart w:id="45" w:name="_Toc73521645"/>
      <w:bookmarkStart w:id="46" w:name="_Toc73518127"/>
      <w:bookmarkStart w:id="47" w:name="_Toc73517649"/>
      <w:bookmarkStart w:id="48" w:name="_Toc100052374"/>
      <w:bookmarkStart w:id="49" w:name="_Toc73521557"/>
      <w:r>
        <w:rPr>
          <w:rFonts w:eastAsia="黑体"/>
          <w:color w:val="000000" w:themeColor="text1"/>
          <w:sz w:val="24"/>
          <w14:textFill>
            <w14:solidFill>
              <w14:schemeClr w14:val="tx1"/>
            </w14:solidFill>
          </w14:textFill>
        </w:rPr>
        <w:t>8．招标文件的编制与组成</w:t>
      </w:r>
      <w:bookmarkEnd w:id="45"/>
      <w:bookmarkEnd w:id="46"/>
      <w:bookmarkEnd w:id="47"/>
      <w:bookmarkEnd w:id="48"/>
      <w:bookmarkEnd w:id="49"/>
    </w:p>
    <w:p>
      <w:pPr>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8.1招标文件除以下内容外，</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在招标（或谈判）期间发出的答疑纪要和其他补充修改函件，均是招标文件的组成部分，对投标人起约束作用；</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招标文件包括下列内容：</w:t>
      </w:r>
    </w:p>
    <w:p>
      <w:pPr>
        <w:ind w:left="420" w:leftChars="200" w:firstLine="413" w:firstLineChars="196"/>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第一部分</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投标须知</w:t>
      </w:r>
    </w:p>
    <w:p>
      <w:pPr>
        <w:numPr>
          <w:ilvl w:val="1"/>
          <w:numId w:val="0"/>
        </w:numPr>
        <w:tabs>
          <w:tab w:val="left" w:pos="360"/>
        </w:tabs>
        <w:ind w:firstLine="1079" w:firstLineChars="514"/>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第一章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总则</w:t>
      </w:r>
    </w:p>
    <w:p>
      <w:pPr>
        <w:numPr>
          <w:ilvl w:val="1"/>
          <w:numId w:val="0"/>
        </w:numPr>
        <w:tabs>
          <w:tab w:val="left" w:pos="360"/>
        </w:tabs>
        <w:ind w:firstLine="1079" w:firstLineChars="514"/>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第二章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招标文件</w:t>
      </w:r>
    </w:p>
    <w:p>
      <w:pPr>
        <w:numPr>
          <w:ilvl w:val="1"/>
          <w:numId w:val="0"/>
        </w:numPr>
        <w:tabs>
          <w:tab w:val="left" w:pos="360"/>
        </w:tabs>
        <w:ind w:firstLine="1079" w:firstLineChars="514"/>
        <w:rPr>
          <w:color w:val="000000" w:themeColor="text1"/>
          <w:szCs w:val="21"/>
          <w14:textFill>
            <w14:solidFill>
              <w14:schemeClr w14:val="tx1"/>
            </w14:solidFill>
          </w14:textFill>
        </w:rPr>
      </w:pPr>
      <w:r>
        <w:rPr>
          <w:color w:val="000000" w:themeColor="text1"/>
          <w:szCs w:val="21"/>
          <w14:textFill>
            <w14:solidFill>
              <w14:schemeClr w14:val="tx1"/>
            </w14:solidFill>
          </w14:textFill>
        </w:rPr>
        <w:t>第三章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投标文件的编制</w:t>
      </w:r>
    </w:p>
    <w:p>
      <w:pPr>
        <w:numPr>
          <w:ilvl w:val="1"/>
          <w:numId w:val="0"/>
        </w:numPr>
        <w:tabs>
          <w:tab w:val="left" w:pos="360"/>
        </w:tabs>
        <w:ind w:firstLine="1079" w:firstLineChars="514"/>
        <w:rPr>
          <w:color w:val="000000" w:themeColor="text1"/>
          <w:szCs w:val="21"/>
          <w14:textFill>
            <w14:solidFill>
              <w14:schemeClr w14:val="tx1"/>
            </w14:solidFill>
          </w14:textFill>
        </w:rPr>
      </w:pPr>
      <w:r>
        <w:rPr>
          <w:color w:val="000000" w:themeColor="text1"/>
          <w:szCs w:val="21"/>
          <w14:textFill>
            <w14:solidFill>
              <w14:schemeClr w14:val="tx1"/>
            </w14:solidFill>
          </w14:textFill>
        </w:rPr>
        <w:t>第四章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投标文件的递交</w:t>
      </w:r>
    </w:p>
    <w:p>
      <w:pPr>
        <w:numPr>
          <w:ilvl w:val="1"/>
          <w:numId w:val="0"/>
        </w:numPr>
        <w:tabs>
          <w:tab w:val="left" w:pos="360"/>
        </w:tabs>
        <w:ind w:firstLine="1079" w:firstLineChars="514"/>
        <w:rPr>
          <w:color w:val="000000" w:themeColor="text1"/>
          <w:szCs w:val="21"/>
          <w14:textFill>
            <w14:solidFill>
              <w14:schemeClr w14:val="tx1"/>
            </w14:solidFill>
          </w14:textFill>
        </w:rPr>
      </w:pPr>
      <w:r>
        <w:rPr>
          <w:color w:val="000000" w:themeColor="text1"/>
          <w:szCs w:val="21"/>
          <w14:textFill>
            <w14:solidFill>
              <w14:schemeClr w14:val="tx1"/>
            </w14:solidFill>
          </w14:textFill>
        </w:rPr>
        <w:t>第五章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开标</w:t>
      </w:r>
    </w:p>
    <w:p>
      <w:pPr>
        <w:numPr>
          <w:ilvl w:val="1"/>
          <w:numId w:val="0"/>
        </w:numPr>
        <w:tabs>
          <w:tab w:val="left" w:pos="360"/>
        </w:tabs>
        <w:ind w:firstLine="1079" w:firstLineChars="514"/>
        <w:rPr>
          <w:color w:val="000000" w:themeColor="text1"/>
          <w:szCs w:val="21"/>
          <w14:textFill>
            <w14:solidFill>
              <w14:schemeClr w14:val="tx1"/>
            </w14:solidFill>
          </w14:textFill>
        </w:rPr>
      </w:pPr>
      <w:r>
        <w:rPr>
          <w:color w:val="000000" w:themeColor="text1"/>
          <w:szCs w:val="21"/>
          <w14:textFill>
            <w14:solidFill>
              <w14:schemeClr w14:val="tx1"/>
            </w14:solidFill>
          </w14:textFill>
        </w:rPr>
        <w:t>第六章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评标要求</w:t>
      </w:r>
    </w:p>
    <w:p>
      <w:pPr>
        <w:numPr>
          <w:ilvl w:val="1"/>
          <w:numId w:val="0"/>
        </w:numPr>
        <w:tabs>
          <w:tab w:val="left" w:pos="360"/>
        </w:tabs>
        <w:ind w:firstLine="1079" w:firstLineChars="514"/>
        <w:rPr>
          <w:color w:val="000000" w:themeColor="text1"/>
          <w:szCs w:val="21"/>
          <w14:textFill>
            <w14:solidFill>
              <w14:schemeClr w14:val="tx1"/>
            </w14:solidFill>
          </w14:textFill>
        </w:rPr>
      </w:pPr>
      <w:r>
        <w:rPr>
          <w:color w:val="000000" w:themeColor="text1"/>
          <w:szCs w:val="21"/>
          <w14:textFill>
            <w14:solidFill>
              <w14:schemeClr w14:val="tx1"/>
            </w14:solidFill>
          </w14:textFill>
        </w:rPr>
        <w:t>第七章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评标程序及评标方法</w:t>
      </w:r>
    </w:p>
    <w:p>
      <w:pPr>
        <w:numPr>
          <w:ilvl w:val="1"/>
          <w:numId w:val="0"/>
        </w:numPr>
        <w:tabs>
          <w:tab w:val="left" w:pos="360"/>
        </w:tabs>
        <w:ind w:firstLine="1079" w:firstLineChars="514"/>
        <w:rPr>
          <w:color w:val="000000" w:themeColor="text1"/>
          <w:szCs w:val="21"/>
          <w14:textFill>
            <w14:solidFill>
              <w14:schemeClr w14:val="tx1"/>
            </w14:solidFill>
          </w14:textFill>
        </w:rPr>
      </w:pPr>
      <w:r>
        <w:rPr>
          <w:color w:val="000000" w:themeColor="text1"/>
          <w:szCs w:val="21"/>
          <w14:textFill>
            <w14:solidFill>
              <w14:schemeClr w14:val="tx1"/>
            </w14:solidFill>
          </w14:textFill>
        </w:rPr>
        <w:t>第八章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公开招标失败的后续处理</w:t>
      </w:r>
    </w:p>
    <w:p>
      <w:pPr>
        <w:numPr>
          <w:ilvl w:val="1"/>
          <w:numId w:val="0"/>
        </w:numPr>
        <w:tabs>
          <w:tab w:val="left" w:pos="360"/>
        </w:tabs>
        <w:ind w:firstLine="1079" w:firstLineChars="514"/>
        <w:rPr>
          <w:color w:val="000000" w:themeColor="text1"/>
          <w:szCs w:val="21"/>
          <w14:textFill>
            <w14:solidFill>
              <w14:schemeClr w14:val="tx1"/>
            </w14:solidFill>
          </w14:textFill>
        </w:rPr>
      </w:pPr>
      <w:r>
        <w:rPr>
          <w:color w:val="000000" w:themeColor="text1"/>
          <w:szCs w:val="21"/>
          <w14:textFill>
            <w14:solidFill>
              <w14:schemeClr w14:val="tx1"/>
            </w14:solidFill>
          </w14:textFill>
        </w:rPr>
        <w:t>第九章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合同的授予</w:t>
      </w:r>
    </w:p>
    <w:p>
      <w:pPr>
        <w:ind w:left="420" w:leftChars="200"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第二部分</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招标项目要求</w:t>
      </w:r>
    </w:p>
    <w:p>
      <w:pPr>
        <w:ind w:left="630" w:leftChars="300"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第一章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招标公告</w:t>
      </w:r>
    </w:p>
    <w:p>
      <w:pPr>
        <w:ind w:left="630" w:leftChars="300"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第二章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项目需求</w:t>
      </w:r>
    </w:p>
    <w:p>
      <w:pPr>
        <w:ind w:left="420" w:leftChars="200"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第三部分</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格式及附件</w:t>
      </w:r>
    </w:p>
    <w:p>
      <w:pPr>
        <w:ind w:left="630" w:leftChars="300"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第一章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合同条款及格式</w:t>
      </w:r>
    </w:p>
    <w:p>
      <w:pPr>
        <w:ind w:left="630" w:leftChars="300"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第二章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投标文件格式、附件</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8.2投标人获得招标文件后，应仔细检查招标文件的所有内容，如有残缺应在投标答疑截止时间之前向</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8.3</w:t>
      </w:r>
      <w:r>
        <w:rPr>
          <w:color w:val="000000" w:themeColor="text1"/>
          <w14:textFill>
            <w14:solidFill>
              <w14:schemeClr w14:val="tx1"/>
            </w14:solidFill>
          </w14:textFill>
        </w:rPr>
        <w:t>任何人或任何组织向投标人提交的任何书面或口头资料，未经</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在网上发布或书面通知，均作无效处理，不得作为招标文件的组成部分。</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对投标人由此而做出的推论、理解和结论概不负责。</w:t>
      </w:r>
    </w:p>
    <w:p>
      <w:pPr>
        <w:spacing w:line="360" w:lineRule="auto"/>
        <w:rPr>
          <w:rFonts w:eastAsia="黑体"/>
          <w:color w:val="000000" w:themeColor="text1"/>
          <w:sz w:val="24"/>
          <w14:textFill>
            <w14:solidFill>
              <w14:schemeClr w14:val="tx1"/>
            </w14:solidFill>
          </w14:textFill>
        </w:rPr>
      </w:pPr>
      <w:bookmarkStart w:id="50" w:name="_Toc73517650"/>
      <w:bookmarkStart w:id="51" w:name="_Toc60560636"/>
      <w:bookmarkStart w:id="52" w:name="_Toc73521558"/>
      <w:bookmarkStart w:id="53" w:name="_Toc73518128"/>
      <w:bookmarkStart w:id="54" w:name="_Toc73521646"/>
      <w:bookmarkStart w:id="55" w:name="_Toc60631631"/>
      <w:bookmarkStart w:id="56" w:name="_Toc100052375"/>
      <w:bookmarkStart w:id="57" w:name="_Toc60560637"/>
      <w:bookmarkStart w:id="58" w:name="_Toc73518129"/>
      <w:bookmarkStart w:id="59" w:name="_Toc60631632"/>
      <w:bookmarkStart w:id="60" w:name="_Toc73517651"/>
      <w:bookmarkStart w:id="61" w:name="_Toc73521559"/>
      <w:bookmarkStart w:id="62" w:name="_Toc100052376"/>
      <w:bookmarkStart w:id="63" w:name="_Toc73521647"/>
      <w:r>
        <w:rPr>
          <w:rFonts w:eastAsia="黑体"/>
          <w:color w:val="000000" w:themeColor="text1"/>
          <w:sz w:val="24"/>
          <w14:textFill>
            <w14:solidFill>
              <w14:schemeClr w14:val="tx1"/>
            </w14:solidFill>
          </w14:textFill>
        </w:rPr>
        <w:t>9．招标文件的澄清</w:t>
      </w:r>
      <w:bookmarkEnd w:id="50"/>
      <w:bookmarkEnd w:id="51"/>
      <w:bookmarkEnd w:id="52"/>
      <w:bookmarkEnd w:id="53"/>
      <w:bookmarkEnd w:id="54"/>
      <w:bookmarkEnd w:id="55"/>
      <w:bookmarkEnd w:id="56"/>
    </w:p>
    <w:p>
      <w:pPr>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9.1  任何要求对招标文件进行澄清的投标人，均应于“招标公告”中所述答疑截止时间前通知</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对规定时间内收到的对招标文件的澄清，视情况予以答复。具体答疑方式请见本招标文件第二部分第一章之规定。</w:t>
      </w:r>
    </w:p>
    <w:p>
      <w:pPr>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9.2  投标供应商若认为招标文件的技术要求有倾向性或不公正性，可在招标答疑阶段提出，以维护招标行为的公平、公正。</w:t>
      </w:r>
    </w:p>
    <w:p>
      <w:pPr>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9.3  对于没有提出澄清又参与了该项目投标的供应商将被视为完全认同该招标文件，投标截止期后不再受理针对招标文件的相关投诉。</w:t>
      </w:r>
    </w:p>
    <w:p>
      <w:pPr>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  对采购文件中描述有歧意或前后不一致的地方，评标委员会有权进行评判，但对同一条款的评判应适用于每个投标人。</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10．招标文件的修改</w:t>
      </w:r>
      <w:bookmarkEnd w:id="57"/>
      <w:bookmarkEnd w:id="58"/>
      <w:bookmarkEnd w:id="59"/>
      <w:bookmarkEnd w:id="60"/>
      <w:bookmarkEnd w:id="61"/>
      <w:bookmarkEnd w:id="62"/>
      <w:bookmarkEnd w:id="63"/>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10.1 招标文件发出后，在投标截止日期前任何时候，确需要变更招标内容的，</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可主动地或在解答投标人提出的澄清问题时对招标文件进行修改；</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10.2 招标文件的修改均在</w:t>
      </w:r>
      <w:r>
        <w:rPr>
          <w:rFonts w:hint="eastAsia"/>
          <w:color w:val="000000" w:themeColor="text1"/>
          <w:szCs w:val="21"/>
          <w14:textFill>
            <w14:solidFill>
              <w14:schemeClr w14:val="tx1"/>
            </w14:solidFill>
          </w14:textFill>
        </w:rPr>
        <w:t>哈尔滨工业大学（深圳）官网（</w:t>
      </w:r>
      <w:r>
        <w:rPr>
          <w:color w:val="000000" w:themeColor="text1"/>
          <w:szCs w:val="21"/>
          <w14:textFill>
            <w14:solidFill>
              <w14:schemeClr w14:val="tx1"/>
            </w14:solidFill>
          </w14:textFill>
        </w:rPr>
        <w:t>http://www.hitsz.edu.cn/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以网上公告形式发布，并对投标人具有约束力，在项目开标前，投标人有义务上网查看，公告一经上网发布，即视为送达。</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10.3 招标文件、招标文件澄清（答疑）纪要、招标文件修改补充通知内容均以书面明确的内容为准。当招标文件、修改补充通知、澄清（答疑）纪要内容相互矛盾时，以最后发出的通知（或纪要）或修改文件为准；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10.4</w:t>
      </w:r>
      <w:r>
        <w:rPr>
          <w:rFonts w:hint="eastAsia"/>
          <w:color w:val="000000" w:themeColor="text1"/>
          <w:szCs w:val="21"/>
          <w14:textFill>
            <w14:solidFill>
              <w14:schemeClr w14:val="tx1"/>
            </w14:solidFill>
          </w14:textFill>
        </w:rPr>
        <w:t xml:space="preserve"> 招标方</w:t>
      </w:r>
      <w:r>
        <w:rPr>
          <w:color w:val="000000" w:themeColor="text1"/>
          <w:szCs w:val="21"/>
          <w14:textFill>
            <w14:solidFill>
              <w14:schemeClr w14:val="tx1"/>
            </w14:solidFill>
          </w14:textFill>
        </w:rPr>
        <w:t>保证招标文件澄清（答疑）纪要和招标文件修改补充通知在投标截止时间前以网站公开发布形式或书面形式发送给所有投标人。为使投标人在编写投标文件时有充分时间对招标文件的修改部分进行研究，可以酌情延长递交投标文件的截止日期，具体时间将在修改补充通知中明确。</w:t>
      </w: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bookmarkStart w:id="64" w:name="bt投标文件"/>
      <w:bookmarkEnd w:id="64"/>
      <w:bookmarkStart w:id="65" w:name="_Toc73521560"/>
      <w:bookmarkStart w:id="66" w:name="_Toc100052377"/>
      <w:bookmarkStart w:id="67" w:name="_Toc101074879"/>
      <w:bookmarkStart w:id="68" w:name="_Toc73518130"/>
      <w:bookmarkStart w:id="69" w:name="_Toc73517652"/>
      <w:bookmarkStart w:id="70" w:name="_Toc73521648"/>
      <w:r>
        <w:rPr>
          <w:rFonts w:ascii="Times New Roman" w:hAnsi="Times New Roman"/>
          <w:color w:val="000000" w:themeColor="text1"/>
          <w:sz w:val="28"/>
          <w:szCs w:val="28"/>
          <w14:textFill>
            <w14:solidFill>
              <w14:schemeClr w14:val="tx1"/>
            </w14:solidFill>
          </w14:textFill>
        </w:rPr>
        <w:t>投标文件</w:t>
      </w:r>
      <w:bookmarkEnd w:id="65"/>
      <w:bookmarkEnd w:id="66"/>
      <w:bookmarkEnd w:id="67"/>
      <w:bookmarkEnd w:id="68"/>
      <w:bookmarkEnd w:id="69"/>
      <w:bookmarkEnd w:id="70"/>
      <w:r>
        <w:rPr>
          <w:rFonts w:ascii="Times New Roman" w:hAnsi="Times New Roman"/>
          <w:color w:val="000000" w:themeColor="text1"/>
          <w:sz w:val="28"/>
          <w:szCs w:val="28"/>
          <w14:textFill>
            <w14:solidFill>
              <w14:schemeClr w14:val="tx1"/>
            </w14:solidFill>
          </w14:textFill>
        </w:rPr>
        <w:t>的编制</w:t>
      </w:r>
    </w:p>
    <w:p>
      <w:pPr>
        <w:spacing w:line="360" w:lineRule="auto"/>
        <w:rPr>
          <w:rFonts w:eastAsia="黑体"/>
          <w:color w:val="000000" w:themeColor="text1"/>
          <w:sz w:val="24"/>
          <w14:textFill>
            <w14:solidFill>
              <w14:schemeClr w14:val="tx1"/>
            </w14:solidFill>
          </w14:textFill>
        </w:rPr>
      </w:pPr>
      <w:bookmarkStart w:id="71" w:name="_Toc100052378"/>
      <w:bookmarkStart w:id="72" w:name="_Toc73521649"/>
      <w:bookmarkStart w:id="73" w:name="_Toc60560639"/>
      <w:bookmarkStart w:id="74" w:name="_Toc73517653"/>
      <w:bookmarkStart w:id="75" w:name="_Toc60631634"/>
      <w:bookmarkStart w:id="76" w:name="_Toc73521561"/>
      <w:bookmarkStart w:id="77" w:name="_Toc73518131"/>
      <w:r>
        <w:rPr>
          <w:rFonts w:eastAsia="黑体"/>
          <w:color w:val="000000" w:themeColor="text1"/>
          <w:sz w:val="24"/>
          <w14:textFill>
            <w14:solidFill>
              <w14:schemeClr w14:val="tx1"/>
            </w14:solidFill>
          </w14:textFill>
        </w:rPr>
        <w:t>11．投标文件的语言及度量单位</w:t>
      </w:r>
      <w:bookmarkEnd w:id="71"/>
      <w:bookmarkEnd w:id="72"/>
      <w:bookmarkEnd w:id="73"/>
      <w:bookmarkEnd w:id="74"/>
      <w:bookmarkEnd w:id="75"/>
      <w:bookmarkEnd w:id="76"/>
      <w:bookmarkEnd w:id="77"/>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11.1 投标人与</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之间与投标有关的所有往来通知、函件和投标文件均用中文表述。投标人随投标文件提供的证明文件和资料可以为其它语言，但必须附中文译文。在此，为了解释投标文件，应以中文为准；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11.2 除技术规范另有规定外，投标文件使用的度量单位，均采用中华人民共和国法定计量单位。</w:t>
      </w:r>
    </w:p>
    <w:p>
      <w:pPr>
        <w:spacing w:line="360" w:lineRule="auto"/>
        <w:rPr>
          <w:rFonts w:eastAsia="黑体"/>
          <w:color w:val="000000" w:themeColor="text1"/>
          <w:sz w:val="24"/>
          <w14:textFill>
            <w14:solidFill>
              <w14:schemeClr w14:val="tx1"/>
            </w14:solidFill>
          </w14:textFill>
        </w:rPr>
      </w:pPr>
      <w:bookmarkStart w:id="78" w:name="_Toc73521562"/>
      <w:bookmarkStart w:id="79" w:name="_Toc73518132"/>
      <w:bookmarkStart w:id="80" w:name="_Toc73517654"/>
      <w:bookmarkStart w:id="81" w:name="_Toc73521650"/>
      <w:bookmarkStart w:id="82" w:name="_Toc100052379"/>
      <w:bookmarkStart w:id="83" w:name="_Toc60560640"/>
      <w:bookmarkStart w:id="84" w:name="_Toc60631635"/>
      <w:r>
        <w:rPr>
          <w:rFonts w:eastAsia="黑体"/>
          <w:color w:val="000000" w:themeColor="text1"/>
          <w:sz w:val="24"/>
          <w14:textFill>
            <w14:solidFill>
              <w14:schemeClr w14:val="tx1"/>
            </w14:solidFill>
          </w14:textFill>
        </w:rPr>
        <w:t>12．投标文件的组成</w:t>
      </w:r>
      <w:bookmarkEnd w:id="78"/>
      <w:bookmarkEnd w:id="79"/>
      <w:bookmarkEnd w:id="80"/>
      <w:bookmarkEnd w:id="81"/>
      <w:bookmarkEnd w:id="82"/>
      <w:bookmarkEnd w:id="83"/>
      <w:bookmarkEnd w:id="84"/>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（具体内容请详见第三部分的相关内容）</w:t>
      </w:r>
      <w:bookmarkStart w:id="85" w:name="投标文件的组成"/>
      <w:bookmarkStart w:id="86" w:name="_Toc73518133"/>
      <w:bookmarkStart w:id="87" w:name="_Toc73517655"/>
      <w:bookmarkStart w:id="88" w:name="_Toc73521563"/>
      <w:bookmarkStart w:id="89" w:name="_Toc73521651"/>
      <w:bookmarkStart w:id="90" w:name="_Toc60560641"/>
      <w:bookmarkStart w:id="91" w:name="_Toc60631636"/>
    </w:p>
    <w:bookmarkEnd w:id="85"/>
    <w:p>
      <w:pPr>
        <w:spacing w:line="360" w:lineRule="auto"/>
        <w:rPr>
          <w:rFonts w:eastAsia="黑体"/>
          <w:color w:val="000000" w:themeColor="text1"/>
          <w:sz w:val="24"/>
          <w14:textFill>
            <w14:solidFill>
              <w14:schemeClr w14:val="tx1"/>
            </w14:solidFill>
          </w14:textFill>
        </w:rPr>
      </w:pPr>
      <w:bookmarkStart w:id="92" w:name="_Toc100052380"/>
      <w:r>
        <w:rPr>
          <w:rFonts w:eastAsia="黑体"/>
          <w:color w:val="000000" w:themeColor="text1"/>
          <w:sz w:val="24"/>
          <w14:textFill>
            <w14:solidFill>
              <w14:schemeClr w14:val="tx1"/>
            </w14:solidFill>
          </w14:textFill>
        </w:rPr>
        <w:t>13．投标文件格式</w:t>
      </w:r>
      <w:bookmarkEnd w:id="86"/>
      <w:bookmarkEnd w:id="87"/>
      <w:bookmarkEnd w:id="88"/>
      <w:bookmarkEnd w:id="89"/>
      <w:bookmarkEnd w:id="90"/>
      <w:bookmarkEnd w:id="91"/>
      <w:bookmarkEnd w:id="92"/>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13.1 投标文件包括本须知第12条中规定的内容。如招标文件提供了投标文件格式，则</w:t>
      </w:r>
      <w:r>
        <w:rPr>
          <w:b/>
          <w:bCs/>
          <w:color w:val="000000" w:themeColor="text1"/>
          <w:szCs w:val="21"/>
          <w14:textFill>
            <w14:solidFill>
              <w14:schemeClr w14:val="tx1"/>
            </w14:solidFill>
          </w14:textFill>
        </w:rPr>
        <w:t>投标人提交的投标文件必须毫无例外地使用招标文件所提供的相应格式</w:t>
      </w:r>
      <w:r>
        <w:rPr>
          <w:color w:val="000000" w:themeColor="text1"/>
          <w:szCs w:val="21"/>
          <w14:textFill>
            <w14:solidFill>
              <w14:schemeClr w14:val="tx1"/>
            </w14:solidFill>
          </w14:textFill>
        </w:rPr>
        <w:t>（表格可以按同样格式扩展）。</w:t>
      </w:r>
      <w:bookmarkStart w:id="93" w:name="_Toc73521653"/>
      <w:bookmarkStart w:id="94" w:name="_Toc73521565"/>
      <w:bookmarkStart w:id="95" w:name="_Toc60560643"/>
      <w:bookmarkStart w:id="96" w:name="_Toc73517657"/>
      <w:bookmarkStart w:id="97" w:name="_Toc73518135"/>
      <w:bookmarkStart w:id="98" w:name="_Toc60631638"/>
    </w:p>
    <w:p>
      <w:pPr>
        <w:spacing w:line="360" w:lineRule="auto"/>
        <w:rPr>
          <w:rFonts w:eastAsia="黑体"/>
          <w:color w:val="000000" w:themeColor="text1"/>
          <w:sz w:val="24"/>
          <w14:textFill>
            <w14:solidFill>
              <w14:schemeClr w14:val="tx1"/>
            </w14:solidFill>
          </w14:textFill>
        </w:rPr>
      </w:pPr>
      <w:bookmarkStart w:id="99" w:name="_Toc100052382"/>
      <w:r>
        <w:rPr>
          <w:rFonts w:eastAsia="黑体"/>
          <w:color w:val="000000" w:themeColor="text1"/>
          <w:sz w:val="24"/>
          <w14:textFill>
            <w14:solidFill>
              <w14:schemeClr w14:val="tx1"/>
            </w14:solidFill>
          </w14:textFill>
        </w:rPr>
        <w:t>14．投标货币</w:t>
      </w:r>
      <w:bookmarkEnd w:id="93"/>
      <w:bookmarkEnd w:id="94"/>
      <w:bookmarkEnd w:id="95"/>
      <w:bookmarkEnd w:id="96"/>
      <w:bookmarkEnd w:id="97"/>
      <w:bookmarkEnd w:id="98"/>
      <w:bookmarkEnd w:id="99"/>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14.1 本项目的投标应以人民币计。</w:t>
      </w:r>
    </w:p>
    <w:p>
      <w:pPr>
        <w:spacing w:line="360" w:lineRule="auto"/>
        <w:rPr>
          <w:rFonts w:eastAsia="黑体"/>
          <w:color w:val="000000" w:themeColor="text1"/>
          <w:sz w:val="24"/>
          <w14:textFill>
            <w14:solidFill>
              <w14:schemeClr w14:val="tx1"/>
            </w14:solidFill>
          </w14:textFill>
        </w:rPr>
      </w:pPr>
      <w:bookmarkStart w:id="100" w:name="_Toc73521654"/>
      <w:bookmarkStart w:id="101" w:name="_Toc60560644"/>
      <w:bookmarkStart w:id="102" w:name="_Toc73521566"/>
      <w:bookmarkStart w:id="103" w:name="_Toc73518136"/>
      <w:bookmarkStart w:id="104" w:name="_Toc73517658"/>
      <w:bookmarkStart w:id="105" w:name="_Toc60631639"/>
      <w:bookmarkStart w:id="106" w:name="_Toc100052383"/>
      <w:r>
        <w:rPr>
          <w:rFonts w:eastAsia="黑体"/>
          <w:color w:val="000000" w:themeColor="text1"/>
          <w:sz w:val="24"/>
          <w14:textFill>
            <w14:solidFill>
              <w14:schemeClr w14:val="tx1"/>
            </w14:solidFill>
          </w14:textFill>
        </w:rPr>
        <w:t>15．投标有效期</w:t>
      </w:r>
      <w:bookmarkEnd w:id="100"/>
      <w:bookmarkEnd w:id="101"/>
      <w:bookmarkEnd w:id="102"/>
      <w:bookmarkEnd w:id="103"/>
      <w:bookmarkEnd w:id="104"/>
      <w:bookmarkEnd w:id="105"/>
      <w:bookmarkEnd w:id="106"/>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15.1 投标有效期为从投标截止之日算起</w:t>
      </w:r>
      <w:r>
        <w:rPr>
          <w:rFonts w:hint="eastAsia"/>
          <w:color w:val="000000" w:themeColor="text1"/>
          <w:szCs w:val="21"/>
          <w:u w:val="single"/>
          <w14:textFill>
            <w14:solidFill>
              <w14:schemeClr w14:val="tx1"/>
            </w14:solidFill>
          </w14:textFill>
        </w:rPr>
        <w:t>9</w:t>
      </w:r>
      <w:r>
        <w:rPr>
          <w:color w:val="000000" w:themeColor="text1"/>
          <w:szCs w:val="21"/>
          <w:u w:val="single"/>
          <w14:textFill>
            <w14:solidFill>
              <w14:schemeClr w14:val="tx1"/>
            </w14:solidFill>
          </w14:textFill>
        </w:rPr>
        <w:t>0</w:t>
      </w:r>
      <w:r>
        <w:rPr>
          <w:color w:val="000000" w:themeColor="text1"/>
          <w:szCs w:val="21"/>
          <w14:textFill>
            <w14:solidFill>
              <w14:schemeClr w14:val="tx1"/>
            </w14:solidFill>
          </w14:textFill>
        </w:rPr>
        <w:t>个日历天，在此期限内，所有投标文件均保持有效；</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15.2 在特殊的情况下，</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在原定的投标有效期满之前，</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可以根据需要以书面形式向投标人提出延长投标有效期的要求，对此要求投标人须以书面形式予以答复，投标人可以拒绝</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此项要求，而不</w:t>
      </w:r>
      <w:r>
        <w:rPr>
          <w:rFonts w:hint="eastAsia"/>
          <w:color w:val="000000" w:themeColor="text1"/>
          <w:szCs w:val="21"/>
          <w14:textFill>
            <w14:solidFill>
              <w14:schemeClr w14:val="tx1"/>
            </w14:solidFill>
          </w14:textFill>
        </w:rPr>
        <w:t>承担其他任何责任</w:t>
      </w:r>
      <w:r>
        <w:rPr>
          <w:color w:val="000000" w:themeColor="text1"/>
          <w:szCs w:val="21"/>
          <w14:textFill>
            <w14:solidFill>
              <w14:schemeClr w14:val="tx1"/>
            </w14:solidFill>
          </w14:textFill>
        </w:rPr>
        <w:t>，其投标在原投标有效期满后不再有效。同意延长投标有效期的投标人不能要求也不允许修改其投标文件，但需要相应的延长投标担保的有效期；</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15.3 中标单位的投标书有效期，截止于完成本招标文件规定的全部项目内容，并通过竣工验收及保修结束。</w:t>
      </w:r>
    </w:p>
    <w:p>
      <w:pPr>
        <w:spacing w:line="360" w:lineRule="auto"/>
        <w:rPr>
          <w:rFonts w:eastAsia="黑体"/>
          <w:color w:val="000000" w:themeColor="text1"/>
          <w:sz w:val="24"/>
          <w14:textFill>
            <w14:solidFill>
              <w14:schemeClr w14:val="tx1"/>
            </w14:solidFill>
          </w14:textFill>
        </w:rPr>
      </w:pPr>
      <w:bookmarkStart w:id="107" w:name="_Toc100052385"/>
      <w:bookmarkStart w:id="108" w:name="_Toc73518138"/>
      <w:bookmarkStart w:id="109" w:name="_Toc60631641"/>
      <w:bookmarkStart w:id="110" w:name="_Toc73521568"/>
      <w:bookmarkStart w:id="111" w:name="_Toc60560646"/>
      <w:bookmarkStart w:id="112" w:name="_Toc73521656"/>
      <w:bookmarkStart w:id="113" w:name="_Toc73517660"/>
      <w:r>
        <w:rPr>
          <w:rFonts w:eastAsia="黑体"/>
          <w:color w:val="000000" w:themeColor="text1"/>
          <w:sz w:val="24"/>
          <w14:textFill>
            <w14:solidFill>
              <w14:schemeClr w14:val="tx1"/>
            </w14:solidFill>
          </w14:textFill>
        </w:rPr>
        <w:t>1</w:t>
      </w:r>
      <w:r>
        <w:rPr>
          <w:rFonts w:hint="eastAsia" w:eastAsia="黑体"/>
          <w:color w:val="000000" w:themeColor="text1"/>
          <w:sz w:val="24"/>
          <w14:textFill>
            <w14:solidFill>
              <w14:schemeClr w14:val="tx1"/>
            </w14:solidFill>
          </w14:textFill>
        </w:rPr>
        <w:t>6</w:t>
      </w:r>
      <w:r>
        <w:rPr>
          <w:rFonts w:eastAsia="黑体"/>
          <w:color w:val="000000" w:themeColor="text1"/>
          <w:sz w:val="24"/>
          <w14:textFill>
            <w14:solidFill>
              <w14:schemeClr w14:val="tx1"/>
            </w14:solidFill>
          </w14:textFill>
        </w:rPr>
        <w:t>．投标人的替代方案</w:t>
      </w:r>
      <w:bookmarkEnd w:id="107"/>
      <w:bookmarkEnd w:id="108"/>
      <w:bookmarkEnd w:id="109"/>
      <w:bookmarkEnd w:id="110"/>
      <w:bookmarkEnd w:id="111"/>
      <w:bookmarkEnd w:id="112"/>
      <w:bookmarkEnd w:id="113"/>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.1投标人所提交的投标文件应完全满足招标文件（包括图纸和技术规范所示的基本技术设计）的要求。除非“投标须知前附表”中允许投标人提交替代方案，否则投标人有关替代方案的条款将不予考虑。</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eastAsia="黑体"/>
          <w:color w:val="000000" w:themeColor="text1"/>
          <w:sz w:val="24"/>
          <w14:textFill>
            <w14:solidFill>
              <w14:schemeClr w14:val="tx1"/>
            </w14:solidFill>
          </w14:textFill>
        </w:rPr>
      </w:pPr>
      <w:bookmarkStart w:id="114" w:name="_Toc60560647"/>
      <w:bookmarkStart w:id="115" w:name="_Toc60631642"/>
      <w:bookmarkStart w:id="116" w:name="_Toc73521569"/>
      <w:bookmarkStart w:id="117" w:name="_Toc73517661"/>
      <w:bookmarkStart w:id="118" w:name="_Toc100052386"/>
      <w:bookmarkStart w:id="119" w:name="_Toc73521657"/>
      <w:bookmarkStart w:id="120" w:name="_Toc73518139"/>
      <w:r>
        <w:rPr>
          <w:rFonts w:eastAsia="黑体"/>
          <w:color w:val="000000" w:themeColor="text1"/>
          <w:sz w:val="24"/>
          <w14:textFill>
            <w14:solidFill>
              <w14:schemeClr w14:val="tx1"/>
            </w14:solidFill>
          </w14:textFill>
        </w:rPr>
        <w:t>1</w:t>
      </w:r>
      <w:bookmarkEnd w:id="114"/>
      <w:bookmarkEnd w:id="115"/>
      <w:r>
        <w:rPr>
          <w:rFonts w:hint="eastAsia" w:eastAsia="黑体"/>
          <w:color w:val="000000" w:themeColor="text1"/>
          <w:sz w:val="24"/>
          <w14:textFill>
            <w14:solidFill>
              <w14:schemeClr w14:val="tx1"/>
            </w14:solidFill>
          </w14:textFill>
        </w:rPr>
        <w:t>7</w:t>
      </w:r>
      <w:r>
        <w:rPr>
          <w:rFonts w:eastAsia="黑体"/>
          <w:color w:val="000000" w:themeColor="text1"/>
          <w:sz w:val="24"/>
          <w14:textFill>
            <w14:solidFill>
              <w14:schemeClr w14:val="tx1"/>
            </w14:solidFill>
          </w14:textFill>
        </w:rPr>
        <w:t>．投标文件的制作要求</w:t>
      </w:r>
      <w:bookmarkEnd w:id="116"/>
      <w:bookmarkEnd w:id="117"/>
      <w:bookmarkEnd w:id="118"/>
      <w:bookmarkEnd w:id="119"/>
      <w:bookmarkEnd w:id="120"/>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.1 投标人应当按《投标须知前附表》中规定的份数制作所投招标项目的纸质投标文件，用于现场投标。</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.2 纸质投标文件须根据招标文件提供的投标文件格式模板及要求编制。</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.3 投标人在利用标书文件模板编制投标书时须注意：</w:t>
      </w:r>
    </w:p>
    <w:p>
      <w:pPr>
        <w:ind w:left="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.3.1除模板中要求填写、添加的内容外，不得对其他文字内容做任何改动。如果因操作失误而改动的，以模板中的文字叙述为准。</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.3.2招标文件项目编号应与根据此招标制作的投标文件项目编号一致。</w:t>
      </w:r>
    </w:p>
    <w:p>
      <w:pPr>
        <w:ind w:left="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.3.3必须完整、准确填写标书文件模板要求填写内容，不能填写如“*、\、[、&amp;、”等特殊字符。模板固定的格式内容和文字叙述，不得改变，如果因改变叙述而与模板的原叙述相冲突者，以模板的叙述为准。</w:t>
      </w:r>
    </w:p>
    <w:p>
      <w:pPr>
        <w:ind w:firstLine="315" w:firstLineChars="150"/>
        <w:rPr>
          <w:color w:val="000000" w:themeColor="text1"/>
          <w:szCs w:val="21"/>
          <w14:textFill>
            <w14:solidFill>
              <w14:schemeClr w14:val="tx1"/>
            </w14:solidFill>
          </w14:textFill>
        </w:rPr>
      </w:pP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bookmarkStart w:id="121" w:name="_Toc73517662"/>
      <w:bookmarkStart w:id="122" w:name="_Toc73521658"/>
      <w:bookmarkStart w:id="123" w:name="_Toc73521570"/>
      <w:bookmarkStart w:id="124" w:name="_Toc100052387"/>
      <w:bookmarkStart w:id="125" w:name="_Toc101074880"/>
      <w:bookmarkStart w:id="126" w:name="_Toc73518140"/>
      <w:r>
        <w:rPr>
          <w:rFonts w:ascii="Times New Roman" w:hAnsi="Times New Roman"/>
          <w:color w:val="000000" w:themeColor="text1"/>
          <w:sz w:val="28"/>
          <w:szCs w:val="28"/>
          <w14:textFill>
            <w14:solidFill>
              <w14:schemeClr w14:val="tx1"/>
            </w14:solidFill>
          </w14:textFill>
        </w:rPr>
        <w:t>投标文件</w:t>
      </w:r>
      <w:bookmarkEnd w:id="121"/>
      <w:bookmarkEnd w:id="122"/>
      <w:bookmarkEnd w:id="123"/>
      <w:bookmarkEnd w:id="124"/>
      <w:bookmarkEnd w:id="125"/>
      <w:bookmarkEnd w:id="126"/>
      <w:r>
        <w:rPr>
          <w:rFonts w:ascii="Times New Roman" w:hAnsi="Times New Roman"/>
          <w:color w:val="000000" w:themeColor="text1"/>
          <w:sz w:val="28"/>
          <w:szCs w:val="28"/>
          <w14:textFill>
            <w14:solidFill>
              <w14:schemeClr w14:val="tx1"/>
            </w14:solidFill>
          </w14:textFill>
        </w:rPr>
        <w:t>的递交</w:t>
      </w:r>
    </w:p>
    <w:p>
      <w:pPr>
        <w:spacing w:line="360" w:lineRule="auto"/>
        <w:rPr>
          <w:rFonts w:eastAsia="黑体"/>
          <w:color w:val="000000" w:themeColor="text1"/>
          <w:sz w:val="24"/>
          <w14:textFill>
            <w14:solidFill>
              <w14:schemeClr w14:val="tx1"/>
            </w14:solidFill>
          </w14:textFill>
        </w:rPr>
      </w:pPr>
      <w:bookmarkStart w:id="127" w:name="_Toc73517663"/>
      <w:bookmarkStart w:id="128" w:name="_Toc73521571"/>
      <w:bookmarkStart w:id="129" w:name="_Toc60560649"/>
      <w:bookmarkStart w:id="130" w:name="_Toc100052388"/>
      <w:bookmarkStart w:id="131" w:name="_Toc73521659"/>
      <w:bookmarkStart w:id="132" w:name="_Toc60631644"/>
      <w:bookmarkStart w:id="133" w:name="_Toc73518141"/>
      <w:r>
        <w:rPr>
          <w:rFonts w:hint="eastAsia" w:eastAsia="黑体"/>
          <w:color w:val="000000" w:themeColor="text1"/>
          <w:sz w:val="24"/>
          <w14:textFill>
            <w14:solidFill>
              <w14:schemeClr w14:val="tx1"/>
            </w14:solidFill>
          </w14:textFill>
        </w:rPr>
        <w:t>18</w:t>
      </w:r>
      <w:r>
        <w:rPr>
          <w:rFonts w:eastAsia="黑体"/>
          <w:color w:val="000000" w:themeColor="text1"/>
          <w:sz w:val="24"/>
          <w14:textFill>
            <w14:solidFill>
              <w14:schemeClr w14:val="tx1"/>
            </w14:solidFill>
          </w14:textFill>
        </w:rPr>
        <w:t>．投标文件的递交</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.1投标书的密封和标记。</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.1.1投标人应将唱标信封、投标文件密封，并标明项目编号、招标项目名称及“正本”或“副本”，唱标信封和投标文件（含正本和副本）应分开独立密封包装；电子文档放入唱标信封中。</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.1.2密封包上注明按“投标须知前附表”所规定的开标时间（指投标邀请书中规定的开标时间）前不准启封的字样。</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.1.3如投标文件由专人送交，投标方应将投标文件按1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.1.1-1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.1.2中的规定进行密封和标记后，按投标邀请书注明的地址送至招标方。</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.1.4邮寄、电报、电话、传真形式的投标概不接受。</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.2投标截止时间</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招标方在招标公告规定的地址收到投标书的时间不得迟于招标公告所规定的时间。</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.3迟交的投标书</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按照投标人须知第1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.2条规定，招标方将拒绝并原封退回在其规定的投标截止期后收到的任何投标书。</w:t>
      </w:r>
    </w:p>
    <w:p>
      <w:pPr>
        <w:ind w:firstLine="420"/>
        <w:rPr>
          <w:color w:val="000000" w:themeColor="text1"/>
          <w:szCs w:val="21"/>
          <w14:textFill>
            <w14:solidFill>
              <w14:schemeClr w14:val="tx1"/>
            </w14:solidFill>
          </w14:textFill>
        </w:rPr>
      </w:pPr>
    </w:p>
    <w:p>
      <w:pPr>
        <w:spacing w:line="360" w:lineRule="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19</w:t>
      </w:r>
      <w:r>
        <w:rPr>
          <w:rFonts w:eastAsia="黑体"/>
          <w:color w:val="000000" w:themeColor="text1"/>
          <w:sz w:val="24"/>
          <w14:textFill>
            <w14:solidFill>
              <w14:schemeClr w14:val="tx1"/>
            </w14:solidFill>
          </w14:textFill>
        </w:rPr>
        <w:t>．投标文件的修改和撤销</w:t>
      </w:r>
    </w:p>
    <w:bookmarkEnd w:id="127"/>
    <w:bookmarkEnd w:id="128"/>
    <w:bookmarkEnd w:id="129"/>
    <w:bookmarkEnd w:id="130"/>
    <w:bookmarkEnd w:id="131"/>
    <w:bookmarkEnd w:id="132"/>
    <w:bookmarkEnd w:id="133"/>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.1  投标人在递交投标书后，可以修改或撤回其投标书，但招标方必须在规定的投标截止期之前，收到修改或撤回的书面通知。</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.2  投标人的修改或撤回通知书应按投标人须知第1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.1条规定编制、密封、标记和发送，并应在封套上加注“修改”或“撤回”字样。</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.3  在投标截止期之后，投标人不得对其投标书做任何修改。</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.4  在投标人须知第1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.2条规定的投标截止期至投标人须知第15条规定的投标有效期期满之间的这段时间内，投标人不得撤回其投标，</w:t>
      </w:r>
      <w:r>
        <w:rPr>
          <w:rFonts w:hint="eastAsia"/>
          <w:color w:val="000000" w:themeColor="text1"/>
          <w:szCs w:val="21"/>
          <w14:textFill>
            <w14:solidFill>
              <w14:schemeClr w14:val="tx1"/>
            </w14:solidFill>
          </w14:textFill>
        </w:rPr>
        <w:t>否则将由投标人自行承担一切责任</w:t>
      </w:r>
      <w:r>
        <w:rPr>
          <w:color w:val="000000" w:themeColor="text1"/>
          <w:szCs w:val="21"/>
          <w14:textFill>
            <w14:solidFill>
              <w14:schemeClr w14:val="tx1"/>
            </w14:solidFill>
          </w14:textFill>
        </w:rPr>
        <w:t>。</w:t>
      </w: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bookmarkStart w:id="134" w:name="_Toc100052391"/>
      <w:bookmarkStart w:id="135" w:name="_Toc73517666"/>
      <w:bookmarkStart w:id="136" w:name="_Toc73521574"/>
      <w:bookmarkStart w:id="137" w:name="_Toc101074881"/>
      <w:bookmarkStart w:id="138" w:name="_Toc73518144"/>
      <w:bookmarkStart w:id="139" w:name="_Toc73521662"/>
      <w:r>
        <w:rPr>
          <w:rFonts w:ascii="Times New Roman" w:hAnsi="Times New Roman"/>
          <w:color w:val="000000" w:themeColor="text1"/>
          <w:sz w:val="28"/>
          <w:szCs w:val="28"/>
          <w14:textFill>
            <w14:solidFill>
              <w14:schemeClr w14:val="tx1"/>
            </w14:solidFill>
          </w14:textFill>
        </w:rPr>
        <w:t>开标</w:t>
      </w:r>
      <w:bookmarkEnd w:id="134"/>
      <w:bookmarkEnd w:id="135"/>
      <w:bookmarkEnd w:id="136"/>
      <w:bookmarkEnd w:id="137"/>
      <w:bookmarkEnd w:id="138"/>
      <w:bookmarkEnd w:id="139"/>
    </w:p>
    <w:p>
      <w:pPr>
        <w:spacing w:line="360" w:lineRule="auto"/>
        <w:rPr>
          <w:rFonts w:eastAsia="黑体"/>
          <w:color w:val="000000" w:themeColor="text1"/>
          <w:sz w:val="24"/>
          <w14:textFill>
            <w14:solidFill>
              <w14:schemeClr w14:val="tx1"/>
            </w14:solidFill>
          </w14:textFill>
        </w:rPr>
      </w:pPr>
      <w:bookmarkStart w:id="140" w:name="_Toc73517667"/>
      <w:bookmarkStart w:id="141" w:name="_Toc100052392"/>
      <w:bookmarkStart w:id="142" w:name="_Toc60631650"/>
      <w:bookmarkStart w:id="143" w:name="_Toc60560655"/>
      <w:bookmarkStart w:id="144" w:name="_Toc73521663"/>
      <w:bookmarkStart w:id="145" w:name="_Toc73518145"/>
      <w:bookmarkStart w:id="146" w:name="_Toc73521575"/>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0</w:t>
      </w:r>
      <w:r>
        <w:rPr>
          <w:rFonts w:eastAsia="黑体"/>
          <w:color w:val="000000" w:themeColor="text1"/>
          <w:sz w:val="24"/>
          <w14:textFill>
            <w14:solidFill>
              <w14:schemeClr w14:val="tx1"/>
            </w14:solidFill>
          </w14:textFill>
        </w:rPr>
        <w:t>．开标</w:t>
      </w:r>
      <w:bookmarkEnd w:id="140"/>
      <w:bookmarkEnd w:id="141"/>
      <w:bookmarkEnd w:id="142"/>
      <w:bookmarkEnd w:id="143"/>
      <w:bookmarkEnd w:id="144"/>
      <w:bookmarkEnd w:id="145"/>
      <w:bookmarkEnd w:id="146"/>
    </w:p>
    <w:p>
      <w:pPr>
        <w:ind w:firstLine="411" w:firstLineChars="196"/>
        <w:rPr>
          <w:color w:val="000000" w:themeColor="text1"/>
          <w:szCs w:val="21"/>
          <w14:textFill>
            <w14:solidFill>
              <w14:schemeClr w14:val="tx1"/>
            </w14:solidFill>
          </w14:textFill>
        </w:rPr>
      </w:pPr>
      <w:bookmarkStart w:id="147" w:name="bt评标"/>
      <w:bookmarkEnd w:id="147"/>
      <w:bookmarkStart w:id="148" w:name="_Toc73521664"/>
      <w:bookmarkStart w:id="149" w:name="_Toc73517668"/>
      <w:bookmarkStart w:id="150" w:name="_Toc73521576"/>
      <w:bookmarkStart w:id="151" w:name="_Toc73518146"/>
      <w:bookmarkStart w:id="152" w:name="_Toc101074882"/>
      <w:bookmarkStart w:id="153" w:name="_Toc100052393"/>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  招标方将按“招标公告”规定的时间和地点组织公开开标。投标人应委派代表参加，参加开标的代表应签名报到以证明出席。</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  开标时，招标方将当众宣读投标人名称、修改和撤回投标的通知、开标一览表（以招标文件规定的开标一览表内容为准）。投标文件中开标一览表内容与投标报价明细表内容不一致的，以开标一览表为准。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除了按照投标人须知第</w:t>
      </w:r>
      <w:r>
        <w:rPr>
          <w:rFonts w:hint="eastAsia"/>
          <w:color w:val="000000" w:themeColor="text1"/>
          <w:szCs w:val="21"/>
          <w14:textFill>
            <w14:solidFill>
              <w14:schemeClr w14:val="tx1"/>
            </w14:solidFill>
          </w14:textFill>
        </w:rPr>
        <w:t>18</w:t>
      </w:r>
      <w:r>
        <w:rPr>
          <w:color w:val="000000" w:themeColor="text1"/>
          <w:szCs w:val="21"/>
          <w14:textFill>
            <w14:solidFill>
              <w14:schemeClr w14:val="tx1"/>
            </w14:solidFill>
          </w14:textFill>
        </w:rPr>
        <w:t>条规定原封退回的投标之外，开标时将不得拒绝任何投标书。</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.3  按照投标人须知第</w:t>
      </w: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条规定，提交了可接受的“撤回”通知的投标将不予开封。</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.4  无论如何在开标时没有启封和读出的投标书在评标时将不予考虑。撤回的投标书将原封退回投标人。</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.5  招标方将做开标记录，开标记录包括按投标人须知第2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.2的规定在开标时宣读的全部内容。</w:t>
      </w: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评标</w:t>
      </w:r>
      <w:bookmarkEnd w:id="148"/>
      <w:bookmarkEnd w:id="149"/>
      <w:bookmarkEnd w:id="150"/>
      <w:bookmarkEnd w:id="151"/>
      <w:r>
        <w:rPr>
          <w:rFonts w:ascii="Times New Roman" w:hAnsi="Times New Roman"/>
          <w:color w:val="000000" w:themeColor="text1"/>
          <w:sz w:val="28"/>
          <w:szCs w:val="28"/>
          <w14:textFill>
            <w14:solidFill>
              <w14:schemeClr w14:val="tx1"/>
            </w14:solidFill>
          </w14:textFill>
        </w:rPr>
        <w:t>要求</w:t>
      </w:r>
      <w:bookmarkEnd w:id="152"/>
      <w:bookmarkEnd w:id="153"/>
    </w:p>
    <w:p>
      <w:pPr>
        <w:spacing w:line="360" w:lineRule="auto"/>
        <w:rPr>
          <w:rFonts w:eastAsia="黑体"/>
          <w:color w:val="000000" w:themeColor="text1"/>
          <w:sz w:val="24"/>
          <w14:textFill>
            <w14:solidFill>
              <w14:schemeClr w14:val="tx1"/>
            </w14:solidFill>
          </w14:textFill>
        </w:rPr>
      </w:pPr>
      <w:bookmarkStart w:id="154" w:name="bt评标会议"/>
      <w:bookmarkEnd w:id="154"/>
      <w:bookmarkStart w:id="155" w:name="_Toc73518147"/>
      <w:bookmarkStart w:id="156" w:name="_Toc73517669"/>
      <w:bookmarkStart w:id="157" w:name="_Toc100052394"/>
      <w:bookmarkStart w:id="158" w:name="_Toc73521665"/>
      <w:bookmarkStart w:id="159" w:name="_Toc73521577"/>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1</w:t>
      </w:r>
      <w:r>
        <w:rPr>
          <w:rFonts w:eastAsia="黑体"/>
          <w:color w:val="000000" w:themeColor="text1"/>
          <w:sz w:val="24"/>
          <w14:textFill>
            <w14:solidFill>
              <w14:schemeClr w14:val="tx1"/>
            </w14:solidFill>
          </w14:textFill>
        </w:rPr>
        <w:t>．评标会议</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.1开标会结束后召开评标会议，评标委员会由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依法组建，负责评标活动。</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评标委员会的组成及行为规范执行《关于印发&lt;深圳市政府采购评标委员会和评标方法暂行规定&gt;的通知》(深财购[2005]5号)，规定如下：</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.1.1采用公开招标及邀请招标的，评标委员会由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代表和有关技术、经济等方面的专家组成，成员人数为5人以上（含5人）单数，其中技术、经济等方面的专家不少于成员总数的三分之二。</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.1.2采用竞争性谈判的，采用综合评标法的，谈判小组成员由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代表和有关专家共5人以上（含5人）的单数组成，其中专家的人数不得少于成员总数的三分之二；采用最低价评标法的，谈判小组成员由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代表和有关专家共3人以上（含3人）的单数组成，其中专家的人数不得少于成员总数的三分之二。</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.1.3采用单一来源谈判的，谈判小组成员由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代表和有关专家共3人以上（含3人）的单数组成，其中专家的人数不得少于成员总数的三分之二。</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.2评标定标应当遵循公平、公正、科学、择优的原则。</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.3评标活动依法进行，任何单位和个人不得非法干预评标过程和结果。</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.4评标过程中不允许违背评标程序或采用招标文件未载明的评标方法或评标因素进行评标。</w:t>
      </w:r>
    </w:p>
    <w:p>
      <w:pPr>
        <w:ind w:firstLine="411" w:firstLineChars="196"/>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.5 开标后，直到授予中标人合同为止，凡属于对投标文件的审查、澄清、评价和比较的有关资料以及中标候选人的推荐情况、与评标有关的其他任何情况均严格保密。</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2</w:t>
      </w:r>
      <w:r>
        <w:rPr>
          <w:rFonts w:eastAsia="黑体"/>
          <w:color w:val="000000" w:themeColor="text1"/>
          <w:sz w:val="24"/>
          <w14:textFill>
            <w14:solidFill>
              <w14:schemeClr w14:val="tx1"/>
            </w14:solidFill>
          </w14:textFill>
        </w:rPr>
        <w:t>．向评标委员会提供的资料</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.1公开发布的招标文件，包括图纸、服务清单、答疑文件等；</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.2其他评标必须的资料。</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.3评标委员会应当认真研究招标文件，至少应了解熟悉以下内容：</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（1）招标的目的；</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（2）招标项目需求的范围和性质；</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（3）招标文件规定的投标人的资质、财政预算限额、商务条款；</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（4）招标文件规定的评标程序、评标方法和评标因素；</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（5）招标文件所列示的废标条件；</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3</w:t>
      </w:r>
      <w:r>
        <w:rPr>
          <w:rFonts w:eastAsia="黑体"/>
          <w:color w:val="000000" w:themeColor="text1"/>
          <w:sz w:val="24"/>
          <w14:textFill>
            <w14:solidFill>
              <w14:schemeClr w14:val="tx1"/>
            </w14:solidFill>
          </w14:textFill>
        </w:rPr>
        <w:t>．独立评标</w:t>
      </w:r>
    </w:p>
    <w:p>
      <w:pPr>
        <w:ind w:firstLine="413" w:firstLineChars="196"/>
        <w:rPr>
          <w:b/>
          <w:bCs/>
          <w:color w:val="000000" w:themeColor="text1"/>
          <w:szCs w:val="21"/>
          <w14:textFill>
            <w14:solidFill>
              <w14:schemeClr w14:val="tx1"/>
            </w14:solidFill>
          </w14:textFill>
        </w:rPr>
      </w:pP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.1评标委员会成员的评标活动应当独立进行，并应遵循投标文件初审、澄清有关问题、比较与评价、确定中标供应商、编写评标报告的工作程序。</w:t>
      </w:r>
      <w:bookmarkEnd w:id="155"/>
      <w:bookmarkEnd w:id="156"/>
      <w:bookmarkEnd w:id="157"/>
      <w:bookmarkEnd w:id="158"/>
      <w:bookmarkEnd w:id="159"/>
      <w:bookmarkStart w:id="160" w:name="bt评标过程的保密"/>
      <w:bookmarkEnd w:id="160"/>
      <w:bookmarkStart w:id="161" w:name="bt错误的修正"/>
      <w:bookmarkEnd w:id="161"/>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bookmarkStart w:id="162" w:name="_Toc100052397"/>
      <w:bookmarkStart w:id="163" w:name="_Toc101074883"/>
      <w:r>
        <w:rPr>
          <w:rFonts w:ascii="Times New Roman" w:hAnsi="Times New Roman"/>
          <w:color w:val="000000" w:themeColor="text1"/>
          <w:sz w:val="28"/>
          <w:szCs w:val="28"/>
          <w14:textFill>
            <w14:solidFill>
              <w14:schemeClr w14:val="tx1"/>
            </w14:solidFill>
          </w14:textFill>
        </w:rPr>
        <w:t>评标程序</w:t>
      </w:r>
      <w:bookmarkStart w:id="164" w:name="bt投标文件的审查"/>
      <w:bookmarkEnd w:id="164"/>
      <w:bookmarkStart w:id="165" w:name="_Toc73518149"/>
      <w:bookmarkStart w:id="166" w:name="_Toc73521579"/>
      <w:bookmarkStart w:id="167" w:name="_Toc73517671"/>
      <w:bookmarkStart w:id="168" w:name="_Toc73521667"/>
      <w:r>
        <w:rPr>
          <w:rFonts w:ascii="Times New Roman" w:hAnsi="Times New Roman"/>
          <w:color w:val="000000" w:themeColor="text1"/>
          <w:sz w:val="28"/>
          <w:szCs w:val="28"/>
          <w14:textFill>
            <w14:solidFill>
              <w14:schemeClr w14:val="tx1"/>
            </w14:solidFill>
          </w14:textFill>
        </w:rPr>
        <w:t>及评标方法</w:t>
      </w:r>
      <w:bookmarkEnd w:id="162"/>
      <w:bookmarkEnd w:id="163"/>
    </w:p>
    <w:p>
      <w:pPr>
        <w:spacing w:line="360" w:lineRule="auto"/>
        <w:rPr>
          <w:rFonts w:eastAsia="黑体"/>
          <w:color w:val="000000" w:themeColor="text1"/>
          <w:sz w:val="24"/>
          <w14:textFill>
            <w14:solidFill>
              <w14:schemeClr w14:val="tx1"/>
            </w14:solidFill>
          </w14:textFill>
        </w:rPr>
      </w:pPr>
      <w:bookmarkStart w:id="169" w:name="_Toc100052398"/>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4</w:t>
      </w:r>
      <w:r>
        <w:rPr>
          <w:rFonts w:eastAsia="黑体"/>
          <w:color w:val="000000" w:themeColor="text1"/>
          <w:sz w:val="24"/>
          <w14:textFill>
            <w14:solidFill>
              <w14:schemeClr w14:val="tx1"/>
            </w14:solidFill>
          </w14:textFill>
        </w:rPr>
        <w:t>．投标文件初审</w:t>
      </w:r>
      <w:bookmarkEnd w:id="169"/>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1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.2</w:t>
      </w:r>
      <w:r>
        <w:rPr>
          <w:b/>
          <w:color w:val="000000" w:themeColor="text1"/>
          <w14:textFill>
            <w14:solidFill>
              <w14:schemeClr w14:val="tx1"/>
            </w14:solidFill>
          </w14:textFill>
        </w:rPr>
        <w:t>投标文件初审内容请详见“关键信息”中的《投标文件初审表》部分。投标人若有一条审查不通过则按废标处理。</w:t>
      </w:r>
    </w:p>
    <w:p>
      <w:pPr>
        <w:ind w:firstLine="411" w:firstLineChars="196"/>
        <w:rPr>
          <w:b/>
          <w:bCs/>
          <w:color w:val="000000" w:themeColor="text1"/>
          <w:szCs w:val="2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.3对不属于投标文件初审表所列的其他情形，除法律法规另有规定外，不得作为废标的理由。</w:t>
      </w:r>
      <w:bookmarkEnd w:id="165"/>
      <w:bookmarkEnd w:id="166"/>
      <w:bookmarkEnd w:id="167"/>
      <w:bookmarkEnd w:id="168"/>
    </w:p>
    <w:p>
      <w:pPr>
        <w:spacing w:line="360" w:lineRule="auto"/>
        <w:rPr>
          <w:rFonts w:eastAsia="黑体"/>
          <w:color w:val="000000" w:themeColor="text1"/>
          <w:sz w:val="24"/>
          <w14:textFill>
            <w14:solidFill>
              <w14:schemeClr w14:val="tx1"/>
            </w14:solidFill>
          </w14:textFill>
        </w:rPr>
      </w:pPr>
      <w:bookmarkStart w:id="170" w:name="_Toc100052399"/>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5</w:t>
      </w:r>
      <w:r>
        <w:rPr>
          <w:rFonts w:eastAsia="黑体"/>
          <w:color w:val="000000" w:themeColor="text1"/>
          <w:sz w:val="24"/>
          <w14:textFill>
            <w14:solidFill>
              <w14:schemeClr w14:val="tx1"/>
            </w14:solidFill>
          </w14:textFill>
        </w:rPr>
        <w:t>．澄清有关问题</w:t>
      </w:r>
      <w:bookmarkEnd w:id="170"/>
    </w:p>
    <w:p>
      <w:pPr>
        <w:ind w:firstLine="411" w:firstLineChars="196"/>
        <w:rPr>
          <w:color w:val="000000" w:themeColor="text1"/>
          <w:szCs w:val="21"/>
          <w14:textFill>
            <w14:solidFill>
              <w14:schemeClr w14:val="tx1"/>
            </w14:solidFill>
          </w14:textFill>
        </w:rPr>
      </w:pPr>
      <w:bookmarkStart w:id="171" w:name="bt投标文件的评估和比较"/>
      <w:bookmarkEnd w:id="171"/>
      <w:bookmarkStart w:id="172" w:name="bt投标文件的澄清"/>
      <w:bookmarkEnd w:id="172"/>
      <w:bookmarkStart w:id="173" w:name="bt废标"/>
      <w:bookmarkEnd w:id="173"/>
      <w:bookmarkStart w:id="174" w:name="_Toc73517675"/>
      <w:bookmarkStart w:id="175" w:name="_Toc73521583"/>
      <w:bookmarkStart w:id="176" w:name="_Toc73518153"/>
      <w:bookmarkStart w:id="177" w:name="_Toc73521671"/>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1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采用书面形式（由其受权的代表签字），并不得超出投标文件的范围或者改变投标文件的实质性的内容。根据本须知第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条，凡属于评标委员会在评标中发现的算术错误进行核实的修改不在此列。</w:t>
      </w:r>
    </w:p>
    <w:p>
      <w:pPr>
        <w:spacing w:line="360" w:lineRule="auto"/>
        <w:rPr>
          <w:rFonts w:eastAsia="黑体"/>
          <w:color w:val="000000" w:themeColor="text1"/>
          <w:sz w:val="24"/>
          <w14:textFill>
            <w14:solidFill>
              <w14:schemeClr w14:val="tx1"/>
            </w14:solidFill>
          </w14:textFill>
        </w:rPr>
      </w:pPr>
      <w:bookmarkStart w:id="178" w:name="_Toc73521669"/>
      <w:bookmarkStart w:id="179" w:name="_Toc73521581"/>
      <w:bookmarkStart w:id="180" w:name="_Toc100052400"/>
      <w:bookmarkStart w:id="181" w:name="_Toc73518151"/>
      <w:bookmarkStart w:id="182" w:name="_Toc73517673"/>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6</w:t>
      </w:r>
      <w:r>
        <w:rPr>
          <w:rFonts w:eastAsia="黑体"/>
          <w:color w:val="000000" w:themeColor="text1"/>
          <w:sz w:val="24"/>
          <w14:textFill>
            <w14:solidFill>
              <w14:schemeClr w14:val="tx1"/>
            </w14:solidFill>
          </w14:textFill>
        </w:rPr>
        <w:t>．错误的修正</w:t>
      </w:r>
      <w:bookmarkEnd w:id="178"/>
      <w:bookmarkEnd w:id="179"/>
      <w:bookmarkEnd w:id="180"/>
      <w:bookmarkEnd w:id="181"/>
      <w:bookmarkEnd w:id="182"/>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  评标委员会将审查投标文件是否完整、总体编排是否有序、文件签署是否合格</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有无计算上的错误等。</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  算术错误将按以下方法更正（次序排先者优先）：</w:t>
      </w:r>
    </w:p>
    <w:p>
      <w:pPr>
        <w:ind w:firstLine="412"/>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.2.1 若开标一览表中投标总价与分项报价清单表总价不一致，以开标一览表投标总价为准；</w:t>
      </w:r>
    </w:p>
    <w:p>
      <w:pPr>
        <w:ind w:firstLine="412"/>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.2.2 若投标文件中分项报价清单表报价与总价不一致，以总价为准；</w:t>
      </w:r>
    </w:p>
    <w:p>
      <w:pPr>
        <w:ind w:firstLine="412"/>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.2.3 若投标文件的大写金额和小写金额不一致的，以大写金额为准；</w:t>
      </w:r>
    </w:p>
    <w:p>
      <w:pPr>
        <w:ind w:firstLine="412"/>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.2.4当综合单价与数量的乘积与合价不一致时，以综合单价为准，除非评标委员会认为综合单价有明显的小数点错误，此时应以标出的合价为准，并修改综合单价。</w:t>
      </w:r>
    </w:p>
    <w:p>
      <w:pPr>
        <w:ind w:firstLine="412"/>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.2.5单价金额小数点有明显错位的，应以总价为准，并修改单价；</w:t>
      </w:r>
    </w:p>
    <w:p>
      <w:pPr>
        <w:ind w:firstLine="412"/>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.2.6 对不同文字文本投标文件的解释发生异议的，以中文文本为准。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.3  对于投标文件中不构成实质性偏差的不正规、不一致或不规则，给评审带来不便，评标委员会可以接受。</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.4上述修正错误的原则及方法调整或修正投标文件的投标报价，投标人同意后，调整后的投标报价对投标人起约束作用。</w:t>
      </w:r>
      <w:r>
        <w:rPr>
          <w:b/>
          <w:bCs/>
          <w:color w:val="000000" w:themeColor="text1"/>
          <w:szCs w:val="21"/>
          <w14:textFill>
            <w14:solidFill>
              <w14:schemeClr w14:val="tx1"/>
            </w14:solidFill>
          </w14:textFill>
        </w:rPr>
        <w:t>如果投标人不接受修正后的报价，则其投标将被拒绝，并不影响评标工作。</w:t>
      </w:r>
    </w:p>
    <w:p>
      <w:pPr>
        <w:spacing w:line="360" w:lineRule="auto"/>
        <w:rPr>
          <w:rFonts w:eastAsia="黑体"/>
          <w:color w:val="000000" w:themeColor="text1"/>
          <w:sz w:val="24"/>
          <w14:textFill>
            <w14:solidFill>
              <w14:schemeClr w14:val="tx1"/>
            </w14:solidFill>
          </w14:textFill>
        </w:rPr>
      </w:pPr>
      <w:bookmarkStart w:id="183" w:name="_Toc100052401"/>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7</w:t>
      </w:r>
      <w:r>
        <w:rPr>
          <w:rFonts w:eastAsia="黑体"/>
          <w:color w:val="000000" w:themeColor="text1"/>
          <w:sz w:val="24"/>
          <w14:textFill>
            <w14:solidFill>
              <w14:schemeClr w14:val="tx1"/>
            </w14:solidFill>
          </w14:textFill>
        </w:rPr>
        <w:t>．投标文件的</w:t>
      </w:r>
      <w:bookmarkEnd w:id="174"/>
      <w:bookmarkEnd w:id="175"/>
      <w:bookmarkEnd w:id="176"/>
      <w:bookmarkEnd w:id="177"/>
      <w:r>
        <w:rPr>
          <w:rFonts w:eastAsia="黑体"/>
          <w:color w:val="000000" w:themeColor="text1"/>
          <w:sz w:val="24"/>
          <w14:textFill>
            <w14:solidFill>
              <w14:schemeClr w14:val="tx1"/>
            </w14:solidFill>
          </w14:textFill>
        </w:rPr>
        <w:t>比较与评价</w:t>
      </w:r>
      <w:bookmarkEnd w:id="183"/>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评标委员会将按照《深圳经济特区政府采购条例》及《深圳市政府采购评标委员会和评标方法暂行规定》，参照相关法律、法规、规定，仅对通过资格性审查和符合性审查的投标文件进行综合比较与评价。</w:t>
      </w:r>
    </w:p>
    <w:p>
      <w:pPr>
        <w:spacing w:line="360" w:lineRule="auto"/>
        <w:rPr>
          <w:rFonts w:eastAsia="黑体"/>
          <w:color w:val="000000" w:themeColor="text1"/>
          <w:sz w:val="24"/>
          <w14:textFill>
            <w14:solidFill>
              <w14:schemeClr w14:val="tx1"/>
            </w14:solidFill>
          </w14:textFill>
        </w:rPr>
      </w:pPr>
      <w:bookmarkStart w:id="184" w:name="_Toc100052402"/>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8</w:t>
      </w:r>
      <w:r>
        <w:rPr>
          <w:rFonts w:eastAsia="黑体"/>
          <w:color w:val="000000" w:themeColor="text1"/>
          <w:sz w:val="24"/>
          <w14:textFill>
            <w14:solidFill>
              <w14:schemeClr w14:val="tx1"/>
            </w14:solidFill>
          </w14:textFill>
        </w:rPr>
        <w:t>．评标方法</w:t>
      </w:r>
      <w:bookmarkEnd w:id="184"/>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w:t>
      </w:r>
      <w:r>
        <w:rPr>
          <w:color w:val="000000" w:themeColor="text1"/>
          <w14:textFill>
            <w14:solidFill>
              <w14:schemeClr w14:val="tx1"/>
            </w14:solidFill>
          </w14:textFill>
        </w:rPr>
        <w:t>评标方法执行《转发财政部关于加强政府采购货物和服务项目价格评审管理的通知》（深财购[2007]9号）和《关于印发&lt;深圳市政府采购评标委员会和评标方法暂行规定&gt;的通知》(深财购[2005]5号)</w:t>
      </w:r>
      <w:r>
        <w:rPr>
          <w:color w:val="000000" w:themeColor="text1"/>
          <w14:textFill>
            <w14:solidFill>
              <w14:schemeClr w14:val="tx1"/>
            </w14:solidFill>
          </w14:textFill>
        </w:rPr>
        <w:cr/>
      </w:r>
      <w:r>
        <w:rPr>
          <w:color w:val="000000" w:themeColor="text1"/>
          <w:szCs w:val="21"/>
          <w14:textFill>
            <w14:solidFill>
              <w14:schemeClr w14:val="tx1"/>
            </w14:solidFill>
          </w14:textFill>
        </w:rPr>
        <w:t>项目评标方法分为最低评标价法、综合评标法、性价比法及法律、法规允许的其它评标办法。</w:t>
      </w:r>
    </w:p>
    <w:p>
      <w:pPr>
        <w:ind w:firstLine="413" w:firstLineChars="196"/>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.1.1</w:t>
      </w:r>
      <w:bookmarkStart w:id="185" w:name="评标方法2"/>
      <w:r>
        <w:rPr>
          <w:b/>
          <w:bCs/>
          <w:color w:val="000000" w:themeColor="text1"/>
          <w:szCs w:val="21"/>
          <w14:textFill>
            <w14:solidFill>
              <w14:schemeClr w14:val="tx1"/>
            </w14:solidFill>
          </w14:textFill>
        </w:rPr>
        <w:t>最低评标价法</w:t>
      </w:r>
    </w:p>
    <w:p>
      <w:pPr>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最低价法是指以价格因素确定中标候选供应商的评标方法，即在满足招标文件实质性要求前提下，以报价最低的投标供应商作为候选中标供应商或中标供应商的评标方法；</w:t>
      </w:r>
    </w:p>
    <w:p>
      <w:pPr>
        <w:ind w:firstLine="413" w:firstLineChars="196"/>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.1.2综合评分法</w:t>
      </w:r>
      <w:bookmarkEnd w:id="185"/>
    </w:p>
    <w:p>
      <w:pPr>
        <w:ind w:firstLine="411" w:firstLineChars="196"/>
        <w:rPr>
          <w:bCs/>
          <w:color w:val="000000" w:themeColor="text1"/>
          <w:szCs w:val="21"/>
          <w14:textFill>
            <w14:solidFill>
              <w14:schemeClr w14:val="tx1"/>
            </w14:solidFill>
          </w14:textFill>
        </w:rPr>
      </w:pPr>
      <w:bookmarkStart w:id="186" w:name="评标方法3"/>
      <w:r>
        <w:rPr>
          <w:bCs/>
          <w:color w:val="000000" w:themeColor="text1"/>
          <w:szCs w:val="21"/>
          <w14:textFill>
            <w14:solidFill>
              <w14:schemeClr w14:val="tx1"/>
            </w14:solidFill>
          </w14:textFill>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候选中标供应商或中标供应商的评标方法。</w:t>
      </w:r>
    </w:p>
    <w:p>
      <w:pPr>
        <w:ind w:firstLine="413" w:firstLineChars="196"/>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.1.3性价比法</w:t>
      </w:r>
    </w:p>
    <w:p>
      <w:pPr>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性价比法是指除价格因素外，经对投标文件进行评审，计算出评分因素的总分，除以投标报价，以商数最高的投标供应商作为候选中标供应商或中标供应商的评标方法。</w:t>
      </w:r>
    </w:p>
    <w:p>
      <w:pPr>
        <w:ind w:firstLine="413" w:firstLineChars="196"/>
        <w:rPr>
          <w:b/>
          <w:bCs/>
          <w:snapToGrid w:val="0"/>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.1.4 采用评定分离的项目，</w:t>
      </w:r>
      <w:r>
        <w:rPr>
          <w:b/>
          <w:bCs/>
          <w:snapToGrid w:val="0"/>
          <w:color w:val="000000" w:themeColor="text1"/>
          <w:kern w:val="0"/>
          <w:szCs w:val="21"/>
          <w14:textFill>
            <w14:solidFill>
              <w14:schemeClr w14:val="tx1"/>
            </w14:solidFill>
          </w14:textFill>
        </w:rPr>
        <w:t>评审委员会在评标报告中根据评标总得分排序，</w:t>
      </w:r>
      <w:r>
        <w:rPr>
          <w:b/>
          <w:bCs/>
          <w:color w:val="000000" w:themeColor="text1"/>
          <w:szCs w:val="21"/>
          <w14:textFill>
            <w14:solidFill>
              <w14:schemeClr w14:val="tx1"/>
            </w14:solidFill>
          </w14:textFill>
        </w:rPr>
        <w:t>推荐三家候选中标供应商</w:t>
      </w:r>
      <w:r>
        <w:rPr>
          <w:b/>
          <w:bCs/>
          <w:snapToGrid w:val="0"/>
          <w:color w:val="000000" w:themeColor="text1"/>
          <w:kern w:val="0"/>
          <w:szCs w:val="21"/>
          <w14:textFill>
            <w14:solidFill>
              <w14:schemeClr w14:val="tx1"/>
            </w14:solidFill>
          </w14:textFill>
        </w:rPr>
        <w:t>。</w:t>
      </w:r>
    </w:p>
    <w:p>
      <w:pPr>
        <w:ind w:firstLine="413" w:firstLineChars="196"/>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2</w:t>
      </w:r>
      <w:r>
        <w:rPr>
          <w:rFonts w:hint="eastAsia"/>
          <w:b/>
          <w:bCs/>
          <w:snapToGrid w:val="0"/>
          <w:color w:val="000000" w:themeColor="text1"/>
          <w:kern w:val="0"/>
          <w:szCs w:val="21"/>
          <w14:textFill>
            <w14:solidFill>
              <w14:schemeClr w14:val="tx1"/>
            </w14:solidFill>
          </w14:textFill>
        </w:rPr>
        <w:t>8</w:t>
      </w:r>
      <w:r>
        <w:rPr>
          <w:b/>
          <w:bCs/>
          <w:snapToGrid w:val="0"/>
          <w:color w:val="000000" w:themeColor="text1"/>
          <w:kern w:val="0"/>
          <w:szCs w:val="21"/>
          <w14:textFill>
            <w14:solidFill>
              <w14:schemeClr w14:val="tx1"/>
            </w14:solidFill>
          </w14:textFill>
        </w:rPr>
        <w:t>.1.5 定标方法：</w:t>
      </w:r>
    </w:p>
    <w:p>
      <w:pPr>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.1.5.1 自定法：</w:t>
      </w:r>
      <w:r>
        <w:rPr>
          <w:color w:val="000000" w:themeColor="text1"/>
          <w:szCs w:val="21"/>
          <w14:textFill>
            <w14:solidFill>
              <w14:schemeClr w14:val="tx1"/>
            </w14:solidFill>
          </w14:textFill>
        </w:rPr>
        <w:t>采购人组织定标委员会，由定标委员会在候选中标供应商中确定中标供应商。</w:t>
      </w:r>
    </w:p>
    <w:p>
      <w:pPr>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.1.5.2抽签法：</w:t>
      </w:r>
      <w:r>
        <w:rPr>
          <w:color w:val="000000" w:themeColor="text1"/>
          <w:szCs w:val="21"/>
          <w14:textFill>
            <w14:solidFill>
              <w14:schemeClr w14:val="tx1"/>
            </w14:solidFill>
          </w14:textFill>
        </w:rPr>
        <w:t>候选中标供应商产生后，由采购人委托招标机构组织按照随机抽签的方式在候选中标供应商中确定中标供应商。</w:t>
      </w:r>
    </w:p>
    <w:p>
      <w:pPr>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.1.5.3竞价法：</w:t>
      </w:r>
      <w:r>
        <w:rPr>
          <w:color w:val="000000" w:themeColor="text1"/>
          <w:szCs w:val="21"/>
          <w14:textFill>
            <w14:solidFill>
              <w14:schemeClr w14:val="tx1"/>
            </w14:solidFill>
          </w14:textFill>
        </w:rPr>
        <w:t>由采购人委托招标机构组织候选中标供应商进行二次竞价，最终报价最低的为中标供应商。投标供应商的二次竞价的价格不能高于首轮投标报价。</w:t>
      </w:r>
    </w:p>
    <w:p>
      <w:pPr>
        <w:ind w:firstLine="413" w:firstLineChars="196"/>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.2 本项目采用的评标方法</w:t>
      </w:r>
      <w:bookmarkEnd w:id="186"/>
    </w:p>
    <w:p>
      <w:pPr>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（请详见“关键信息——</w:t>
      </w:r>
      <w:r>
        <w:rPr>
          <w:rFonts w:hint="eastAsia"/>
          <w:bCs/>
          <w:color w:val="000000" w:themeColor="text1"/>
          <w:szCs w:val="21"/>
          <w14:textFill>
            <w14:solidFill>
              <w14:schemeClr w14:val="tx1"/>
            </w14:solidFill>
          </w14:textFill>
        </w:rPr>
        <w:t>评标信息</w:t>
      </w:r>
      <w:r>
        <w:rPr>
          <w:bCs/>
          <w:color w:val="000000" w:themeColor="text1"/>
          <w:szCs w:val="21"/>
          <w14:textFill>
            <w14:solidFill>
              <w14:schemeClr w14:val="tx1"/>
            </w14:solidFill>
          </w14:textFill>
        </w:rPr>
        <w:t>”）</w:t>
      </w:r>
    </w:p>
    <w:p>
      <w:pPr>
        <w:spacing w:line="360" w:lineRule="auto"/>
        <w:rPr>
          <w:rFonts w:eastAsia="黑体"/>
          <w:color w:val="000000" w:themeColor="text1"/>
          <w:sz w:val="24"/>
          <w14:textFill>
            <w14:solidFill>
              <w14:schemeClr w14:val="tx1"/>
            </w14:solidFill>
          </w14:textFill>
        </w:rPr>
      </w:pPr>
      <w:bookmarkStart w:id="187" w:name="_Toc73517677"/>
      <w:bookmarkStart w:id="188" w:name="_Toc73521673"/>
      <w:bookmarkStart w:id="189" w:name="_Toc73518155"/>
      <w:bookmarkStart w:id="190" w:name="_Toc100052403"/>
      <w:bookmarkStart w:id="191" w:name="_Toc60631660"/>
      <w:bookmarkStart w:id="192" w:name="_Toc60560665"/>
      <w:bookmarkStart w:id="193" w:name="_Toc73521585"/>
      <w:r>
        <w:rPr>
          <w:rFonts w:hint="eastAsia" w:eastAsia="黑体"/>
          <w:color w:val="000000" w:themeColor="text1"/>
          <w:sz w:val="24"/>
          <w14:textFill>
            <w14:solidFill>
              <w14:schemeClr w14:val="tx1"/>
            </w14:solidFill>
          </w14:textFill>
        </w:rPr>
        <w:t>29</w:t>
      </w:r>
      <w:r>
        <w:rPr>
          <w:rFonts w:eastAsia="黑体"/>
          <w:color w:val="000000" w:themeColor="text1"/>
          <w:sz w:val="24"/>
          <w14:textFill>
            <w14:solidFill>
              <w14:schemeClr w14:val="tx1"/>
            </w14:solidFill>
          </w14:textFill>
        </w:rPr>
        <w:t>．定标</w:t>
      </w:r>
      <w:bookmarkEnd w:id="187"/>
      <w:bookmarkEnd w:id="188"/>
      <w:bookmarkEnd w:id="189"/>
      <w:bookmarkEnd w:id="190"/>
      <w:bookmarkEnd w:id="191"/>
      <w:bookmarkEnd w:id="192"/>
      <w:bookmarkEnd w:id="193"/>
    </w:p>
    <w:p>
      <w:pPr>
        <w:ind w:firstLine="411" w:firstLineChars="19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r>
        <w:rPr>
          <w:color w:val="000000" w:themeColor="text1"/>
          <w:szCs w:val="21"/>
          <w14:textFill>
            <w14:solidFill>
              <w14:schemeClr w14:val="tx1"/>
            </w14:solidFill>
          </w14:textFill>
        </w:rPr>
        <w:t>.1评标委员会依据本招标文件所约定的评标方法进行评审和比较，向</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提交书面评标报告，并根据评标方法比较评价结果从优到劣进行排序，并推荐中标候选人或确定中标供应商；</w:t>
      </w:r>
    </w:p>
    <w:p>
      <w:pPr>
        <w:ind w:firstLine="411" w:firstLineChars="19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r>
        <w:rPr>
          <w:color w:val="000000" w:themeColor="text1"/>
          <w:szCs w:val="21"/>
          <w14:textFill>
            <w14:solidFill>
              <w14:schemeClr w14:val="tx1"/>
            </w14:solidFill>
          </w14:textFill>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ind w:firstLine="411" w:firstLineChars="19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r>
        <w:rPr>
          <w:color w:val="000000" w:themeColor="text1"/>
          <w:szCs w:val="21"/>
          <w14:textFill>
            <w14:solidFill>
              <w14:schemeClr w14:val="tx1"/>
            </w14:solidFill>
          </w14:textFill>
        </w:rPr>
        <w:t>.3采用综合评分法的，按评审后得分由高到低顺序排列。得分相同的，按投标报价由低到高顺序排列。得分且投标报价相同的，按技术指标优劣顺序排列。</w:t>
      </w:r>
    </w:p>
    <w:p>
      <w:pPr>
        <w:ind w:firstLine="411" w:firstLineChars="19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r>
        <w:rPr>
          <w:color w:val="000000" w:themeColor="text1"/>
          <w:szCs w:val="21"/>
          <w14:textFill>
            <w14:solidFill>
              <w14:schemeClr w14:val="tx1"/>
            </w14:solidFill>
          </w14:textFill>
        </w:rPr>
        <w:t>.4采用性价比法的，按商数得分由高到低顺序排列。商数得分相同的，按投标报价由低到高顺序排列。商数得分且投标报价相同的，按技术指标优劣顺序排列。</w:t>
      </w:r>
    </w:p>
    <w:p>
      <w:pPr>
        <w:spacing w:line="360" w:lineRule="auto"/>
        <w:rPr>
          <w:rFonts w:eastAsia="黑体"/>
          <w:color w:val="000000" w:themeColor="text1"/>
          <w:sz w:val="24"/>
          <w14:textFill>
            <w14:solidFill>
              <w14:schemeClr w14:val="tx1"/>
            </w14:solidFill>
          </w14:textFill>
        </w:rPr>
      </w:pPr>
      <w:bookmarkStart w:id="194" w:name="_Toc100052404"/>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0</w:t>
      </w:r>
      <w:r>
        <w:rPr>
          <w:rFonts w:eastAsia="黑体"/>
          <w:color w:val="000000" w:themeColor="text1"/>
          <w:sz w:val="24"/>
          <w14:textFill>
            <w14:solidFill>
              <w14:schemeClr w14:val="tx1"/>
            </w14:solidFill>
          </w14:textFill>
        </w:rPr>
        <w:t>．编写评标报告</w:t>
      </w:r>
      <w:bookmarkEnd w:id="194"/>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eastAsia="黑体"/>
          <w:color w:val="000000" w:themeColor="text1"/>
          <w:sz w:val="24"/>
          <w14:textFill>
            <w14:solidFill>
              <w14:schemeClr w14:val="tx1"/>
            </w14:solidFill>
          </w14:textFill>
        </w:rPr>
      </w:pPr>
      <w:bookmarkStart w:id="195" w:name="_Toc100052405"/>
      <w:bookmarkStart w:id="196" w:name="_Toc73521588"/>
      <w:bookmarkStart w:id="197" w:name="_Toc73521676"/>
      <w:bookmarkStart w:id="198" w:name="_Toc73517681"/>
      <w:bookmarkStart w:id="199" w:name="_Toc73518159"/>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1</w:t>
      </w:r>
      <w:r>
        <w:rPr>
          <w:rFonts w:eastAsia="黑体"/>
          <w:color w:val="000000" w:themeColor="text1"/>
          <w:sz w:val="24"/>
          <w14:textFill>
            <w14:solidFill>
              <w14:schemeClr w14:val="tx1"/>
            </w14:solidFill>
          </w14:textFill>
        </w:rPr>
        <w:t>．中标结果及中标通知书</w:t>
      </w:r>
      <w:bookmarkEnd w:id="195"/>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.1为体现“公开、公平、公正”的原则，评标结束后，</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将在</w:t>
      </w:r>
      <w:r>
        <w:rPr>
          <w:rFonts w:hint="eastAsia"/>
          <w:color w:val="000000" w:themeColor="text1"/>
          <w:szCs w:val="21"/>
          <w14:textFill>
            <w14:solidFill>
              <w14:schemeClr w14:val="tx1"/>
            </w14:solidFill>
          </w14:textFill>
        </w:rPr>
        <w:t>哈尔滨工业大学（深圳）官网（www.hitsz.edu.cn）</w:t>
      </w:r>
      <w:r>
        <w:rPr>
          <w:color w:val="000000" w:themeColor="text1"/>
          <w:szCs w:val="21"/>
          <w14:textFill>
            <w14:solidFill>
              <w14:schemeClr w14:val="tx1"/>
            </w14:solidFill>
          </w14:textFill>
        </w:rPr>
        <w:t>上发布中标结果公告，公示期为3个工作日。供应商如对评标结果有异议，请于公示期内，以书面形式向</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反映。若在公示期内未提出异议，则视为认同该评标结果。</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.2评标委员会不直接向未通过符合性检查的投标人或者未中标的投标人解释落标原因，也不退还投标文件。</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.3质疑投诉人应保证质疑投诉内容的真实性和可靠性，并承担相应的法律责任。</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.4项目质疑受理程序：</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.4.1</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统一对外受理项目质疑资料。供应商认为其权益受到损害的，应当自知道或者应当知道其权益受到损害之日起五个工作日内向</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以书面形式提出质疑，并提供相应的证据。对于逾期及不符合质疑条件的，不予受理。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受理程序需要审核的资料：供应商提供书面的质疑函件（原件且加盖公司公章）以及相关质疑内容的证明材料、法定代表人证明书、授权委托书（应当载明委托代理的事项和具体权限）、经办人身份证原件及复印件（加盖公章），如果没有超过质疑的有效期限且资料齐全，</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将打印《质疑受理回执》加盖公司公章给予供应商。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质疑函应当包括下列主要内容：</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（一）有明确的质疑请求；</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（二）有明确的质疑对象；</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（三）因质疑事项而受到损害的权益；</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（四）有合理的事实和依据；</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（五）法律、法规和规章规定的其他材料；</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（六）其他。</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质疑函中应当写明被质疑采购项目的名称和编号，应当写明单位全称、地址、邮政编码、有效联系人和联系电话。</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4.2异地供应商质疑可传真函件进行预受理，但供应商必须在发出传真函件后5个工作日内将资料原件【供应商提供书面的质疑函件（原件且加盖公司公章）以及相关质疑内容的证明材料、法定代表人证明书、授权委托书（应当载明委托代理的事项和具体权限）、经办人身份证原件及复印件（加盖公章）】提交至</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，或邮政快递至</w:t>
      </w:r>
      <w:r>
        <w:rPr>
          <w:rFonts w:hint="eastAsia"/>
          <w:color w:val="000000" w:themeColor="text1"/>
          <w:szCs w:val="21"/>
          <w14:textFill>
            <w14:solidFill>
              <w14:schemeClr w14:val="tx1"/>
            </w14:solidFill>
          </w14:textFill>
        </w:rPr>
        <w:t>招标方处</w:t>
      </w:r>
      <w:r>
        <w:rPr>
          <w:color w:val="000000" w:themeColor="text1"/>
          <w:szCs w:val="21"/>
          <w14:textFill>
            <w14:solidFill>
              <w14:schemeClr w14:val="tx1"/>
            </w14:solidFill>
          </w14:textFill>
        </w:rPr>
        <w:t>再给予正式受理。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.5中标公告公布以后，公示期内无人投诉，</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将通知中标供应商在公示期结束后五个工作日内到招标</w:t>
      </w:r>
      <w:r>
        <w:rPr>
          <w:rFonts w:hint="eastAsia"/>
          <w:color w:val="000000" w:themeColor="text1"/>
          <w:szCs w:val="21"/>
          <w14:textFill>
            <w14:solidFill>
              <w14:schemeClr w14:val="tx1"/>
            </w14:solidFill>
          </w14:textFill>
        </w:rPr>
        <w:t>方处</w:t>
      </w:r>
      <w:r>
        <w:rPr>
          <w:color w:val="000000" w:themeColor="text1"/>
          <w:szCs w:val="21"/>
          <w14:textFill>
            <w14:solidFill>
              <w14:schemeClr w14:val="tx1"/>
            </w14:solidFill>
          </w14:textFill>
        </w:rPr>
        <w:t>领取《中标通知书》</w:t>
      </w:r>
      <w:bookmarkEnd w:id="196"/>
      <w:bookmarkEnd w:id="197"/>
      <w:bookmarkEnd w:id="198"/>
      <w:bookmarkEnd w:id="199"/>
      <w:r>
        <w:rPr>
          <w:color w:val="000000" w:themeColor="text1"/>
          <w:szCs w:val="21"/>
          <w14:textFill>
            <w14:solidFill>
              <w14:schemeClr w14:val="tx1"/>
            </w14:solidFill>
          </w14:textFill>
        </w:rPr>
        <w:t>。</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.6中标通知书是合同的重要组成部分。</w:t>
      </w: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bookmarkStart w:id="200" w:name="bt合同的授予"/>
      <w:bookmarkEnd w:id="200"/>
      <w:bookmarkStart w:id="201" w:name="_Toc100052407"/>
      <w:bookmarkStart w:id="202" w:name="_Toc101074884"/>
      <w:bookmarkStart w:id="203" w:name="_Toc73518156"/>
      <w:bookmarkStart w:id="204" w:name="_Toc73517678"/>
      <w:r>
        <w:rPr>
          <w:rFonts w:ascii="Times New Roman" w:hAnsi="Times New Roman"/>
          <w:color w:val="000000" w:themeColor="text1"/>
          <w:sz w:val="28"/>
          <w:szCs w:val="28"/>
          <w14:textFill>
            <w14:solidFill>
              <w14:schemeClr w14:val="tx1"/>
            </w14:solidFill>
          </w14:textFill>
        </w:rPr>
        <w:t>公开招标失败的后续处理</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2</w:t>
      </w:r>
      <w:r>
        <w:rPr>
          <w:rFonts w:eastAsia="黑体"/>
          <w:color w:val="000000" w:themeColor="text1"/>
          <w:sz w:val="24"/>
          <w14:textFill>
            <w14:solidFill>
              <w14:schemeClr w14:val="tx1"/>
            </w14:solidFill>
          </w14:textFill>
        </w:rPr>
        <w:t>．公开招标失败的处理</w:t>
      </w:r>
    </w:p>
    <w:p>
      <w:pPr>
        <w:ind w:firstLine="411" w:firstLineChars="196"/>
        <w:rPr>
          <w:color w:val="000000" w:themeColor="text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.1本项目公开招标过程中若由于投标截止后</w:t>
      </w:r>
      <w:r>
        <w:rPr>
          <w:color w:val="000000" w:themeColor="text1"/>
          <w14:textFill>
            <w14:solidFill>
              <w14:schemeClr w14:val="tx1"/>
            </w14:solidFill>
          </w14:textFill>
        </w:rPr>
        <w:t>实际递交投标文件的供应商数量不足、经评标委员会评审对招标文件作实质响应的供应商不足等原因造成公开招标失败，可由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重新组织采购。</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.2对公开招标失败的项目，评标委员会必须在出具该项目招标失败结论的同时，提出重新采购组织形式的建议，以及进一步完善招标文件的资格、技术、商务要求的修改建议。</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.3重新组织采购有以下两种组织形式：</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（1）由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重新组织公开招标；</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（2）根据实际情况</w:t>
      </w:r>
      <w:r>
        <w:rPr>
          <w:rFonts w:hint="eastAsia"/>
          <w:color w:val="000000" w:themeColor="text1"/>
          <w14:textFill>
            <w14:solidFill>
              <w14:schemeClr w14:val="tx1"/>
            </w14:solidFill>
          </w14:textFill>
        </w:rPr>
        <w:t>，经有关部门批准，</w:t>
      </w:r>
      <w:r>
        <w:rPr>
          <w:color w:val="000000" w:themeColor="text1"/>
          <w14:textFill>
            <w14:solidFill>
              <w14:schemeClr w14:val="tx1"/>
            </w14:solidFill>
          </w14:textFill>
        </w:rPr>
        <w:t>转为竞争性谈判或单一来源谈判方式采购。</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.4公开招标失败的采购项目重新组织公开招标，</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要重新按公开招标流程发布招标公告和招标文件、组成评标委员会等组织采购活动。</w:t>
      </w:r>
    </w:p>
    <w:p>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.5公开招标失败的采购项目经</w:t>
      </w:r>
      <w:r>
        <w:rPr>
          <w:rFonts w:hint="eastAsia"/>
          <w:color w:val="000000" w:themeColor="text1"/>
          <w14:textFill>
            <w14:solidFill>
              <w14:schemeClr w14:val="tx1"/>
            </w14:solidFill>
          </w14:textFill>
        </w:rPr>
        <w:t>有关部门批准</w:t>
      </w:r>
      <w:r>
        <w:rPr>
          <w:color w:val="000000" w:themeColor="text1"/>
          <w14:textFill>
            <w14:solidFill>
              <w14:schemeClr w14:val="tx1"/>
            </w14:solidFill>
          </w14:textFill>
        </w:rPr>
        <w:t>转为竞争性谈判或单一来源谈判方式采购的，可不另行制作谈判文件，</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3</w:t>
      </w:r>
      <w:r>
        <w:rPr>
          <w:rFonts w:eastAsia="黑体"/>
          <w:color w:val="000000" w:themeColor="text1"/>
          <w:sz w:val="24"/>
          <w14:textFill>
            <w14:solidFill>
              <w14:schemeClr w14:val="tx1"/>
            </w14:solidFill>
          </w14:textFill>
        </w:rPr>
        <w:t>．公开招标失败项目转为竞争性谈判方式采购</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.1谈判小组</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.1.1公开招标失败项目转为竞争性谈判方式采购后，评标委员会转为谈判小组，</w:t>
      </w:r>
      <w:r>
        <w:rPr>
          <w:color w:val="000000" w:themeColor="text1"/>
          <w14:textFill>
            <w14:solidFill>
              <w14:schemeClr w14:val="tx1"/>
            </w14:solidFill>
          </w14:textFill>
        </w:rPr>
        <w:t>谈判小组成员</w:t>
      </w:r>
      <w:r>
        <w:rPr>
          <w:rFonts w:hint="eastAsia"/>
          <w:color w:val="000000" w:themeColor="text1"/>
          <w14:textFill>
            <w14:solidFill>
              <w14:schemeClr w14:val="tx1"/>
            </w14:solidFill>
          </w14:textFill>
        </w:rPr>
        <w:t>由招标方</w:t>
      </w:r>
      <w:r>
        <w:rPr>
          <w:color w:val="000000" w:themeColor="text1"/>
          <w14:textFill>
            <w14:solidFill>
              <w14:schemeClr w14:val="tx1"/>
            </w14:solidFill>
          </w14:textFill>
        </w:rPr>
        <w:t>代表和有关专家共3人以上（含3人）的单数组成；其中专家的人数不得少于成员总数的三分之二；专家可重新抽取也可继续采用评标委员会内专家。</w:t>
      </w:r>
    </w:p>
    <w:p>
      <w:pPr>
        <w:tabs>
          <w:tab w:val="left" w:pos="-1080"/>
        </w:tabs>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.1.2</w:t>
      </w:r>
      <w:r>
        <w:rPr>
          <w:color w:val="000000" w:themeColor="text1"/>
          <w14:textFill>
            <w14:solidFill>
              <w14:schemeClr w14:val="tx1"/>
            </w14:solidFill>
          </w14:textFill>
        </w:rPr>
        <w:t>谈判前，谈判小组将对各供应商的谈判应答文件进行审查，</w:t>
      </w:r>
      <w:r>
        <w:rPr>
          <w:bCs/>
          <w:color w:val="000000" w:themeColor="text1"/>
          <w14:textFill>
            <w14:solidFill>
              <w14:schemeClr w14:val="tx1"/>
            </w14:solidFill>
          </w14:textFill>
        </w:rPr>
        <w:t>当谈判应答文件出现下列情况之一的将视为无效，按废标处理，不得进入谈判，</w:t>
      </w:r>
      <w:r>
        <w:rPr>
          <w:b/>
          <w:color w:val="000000" w:themeColor="text1"/>
          <w14:textFill>
            <w14:solidFill>
              <w14:schemeClr w14:val="tx1"/>
            </w14:solidFill>
          </w14:textFill>
        </w:rPr>
        <w:t>具体内容见原招标文件中投标文件初审表的《资格性检查表》部分以及谈判邀请中相应的变动部分。</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.2谈判程序</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.2.1参加谈判的供应商和谈判小组成员填写谈判登记表，并交验证明文件（法定代表人证明书、法人授权委托书、被授权的谈判代表身份证原件）。</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.2.2谈判小组主持人宣布谈判规则和谈判纪律。</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.2.3在谈判中，谈判小组将就以下谈判内容跟供应商进行谈判：</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（1）项目方案；</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（2）报价；</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（3）其它相关事项。</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原招标文件或谈判邀请文件有实质性变动的，谈判小组应当通过</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通知所有参加谈判的供应商。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.2.4谈判小组可以用书面形式要求各供应商对其谈判应答文件含义不明确的内容作必要的澄清或者说明，重要问题供应商应以书面形式进行澄清、说明。</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.2.5 允许供应商在谈判结束之前根据谈判小组提出的内容进行澄清、修改或完善，或对项目方案进行相应的调整。</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.2.6供应商对谈判应答文件进行修改，都应形成文字材料，并经供应商谈判授权人签字认可。</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2.7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.2.8有下列情形之一的，该供应商的谈判结果作废标处理，</w:t>
      </w:r>
      <w:r>
        <w:rPr>
          <w:b/>
          <w:color w:val="000000" w:themeColor="text1"/>
          <w:szCs w:val="21"/>
          <w14:textFill>
            <w14:solidFill>
              <w14:schemeClr w14:val="tx1"/>
            </w14:solidFill>
          </w14:textFill>
        </w:rPr>
        <w:t>具体内容见原招标文件中投标文件初审表的《符合性检查表》部分以及谈判邀请中相应的变动部分。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.2.9谈判结束后，谈判小组根据供应商提供的谈判应答文件、谈判过程中产生的相关资料，对供应商谈判应答文件进行评估与比较，提出书面评审意见。</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.2.10谈判小组将对谈判过程进行记录，以存档备查。</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.3评标方法和定标原则</w:t>
      </w:r>
    </w:p>
    <w:p>
      <w:pPr>
        <w:tabs>
          <w:tab w:val="left" w:pos="-1080"/>
        </w:tabs>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.3.1根据《深圳市政府采购评标委员会和评标方法暂行规定》（深财购[2005]5号），竞争性谈判采购项目的评标方法要比照</w:t>
      </w:r>
      <w:r>
        <w:rPr>
          <w:b/>
          <w:color w:val="000000" w:themeColor="text1"/>
          <w:szCs w:val="21"/>
          <w14:textFill>
            <w14:solidFill>
              <w14:schemeClr w14:val="tx1"/>
            </w14:solidFill>
          </w14:textFill>
        </w:rPr>
        <w:t>最低评标价法规定执行</w:t>
      </w:r>
      <w:r>
        <w:rPr>
          <w:color w:val="000000" w:themeColor="text1"/>
          <w:szCs w:val="21"/>
          <w14:textFill>
            <w14:solidFill>
              <w14:schemeClr w14:val="tx1"/>
            </w14:solidFill>
          </w14:textFill>
        </w:rPr>
        <w:t>。如确因实际情况需要采用其他评标方法的，应报经同级政府采购监督管理部门批准。</w:t>
      </w:r>
      <w:r>
        <w:rPr>
          <w:b/>
          <w:color w:val="000000" w:themeColor="text1"/>
          <w14:textFill>
            <w14:solidFill>
              <w14:schemeClr w14:val="tx1"/>
            </w14:solidFill>
          </w14:textFill>
        </w:rPr>
        <w:t>原招标文件若采用</w:t>
      </w:r>
      <w:r>
        <w:rPr>
          <w:b/>
          <w:bCs/>
          <w:color w:val="000000" w:themeColor="text1"/>
          <w14:textFill>
            <w14:solidFill>
              <w14:schemeClr w14:val="tx1"/>
            </w14:solidFill>
          </w14:textFill>
        </w:rPr>
        <w:t>最低评标价法以外的评标方法，转为竞争性谈判后，评标方法应采用</w:t>
      </w:r>
      <w:r>
        <w:rPr>
          <w:b/>
          <w:color w:val="000000" w:themeColor="text1"/>
          <w:szCs w:val="21"/>
          <w14:textFill>
            <w14:solidFill>
              <w14:schemeClr w14:val="tx1"/>
            </w14:solidFill>
          </w14:textFill>
        </w:rPr>
        <w:t>最低评标价法。</w:t>
      </w:r>
    </w:p>
    <w:p>
      <w:pPr>
        <w:tabs>
          <w:tab w:val="left" w:pos="-1080"/>
        </w:tabs>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.3.2对公开招标失败转为竞争性谈判方式采购的项目，谈判小组</w:t>
      </w:r>
      <w:r>
        <w:rPr>
          <w:color w:val="000000" w:themeColor="text1"/>
          <w14:textFill>
            <w14:solidFill>
              <w14:schemeClr w14:val="tx1"/>
            </w14:solidFill>
          </w14:textFill>
        </w:rPr>
        <w:t>对谈判应答文件进行评审和比较，综合各家供应商最终的方案、服务和投资等谈判结果并按本须知第2</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.1.1的</w:t>
      </w:r>
      <w:r>
        <w:rPr>
          <w:b/>
          <w:bCs/>
          <w:color w:val="000000" w:themeColor="text1"/>
          <w14:textFill>
            <w14:solidFill>
              <w14:schemeClr w14:val="tx1"/>
            </w14:solidFill>
          </w14:textFill>
        </w:rPr>
        <w:t>最低评标价法</w:t>
      </w:r>
      <w:r>
        <w:rPr>
          <w:color w:val="000000" w:themeColor="text1"/>
          <w14:textFill>
            <w14:solidFill>
              <w14:schemeClr w14:val="tx1"/>
            </w14:solidFill>
          </w14:textFill>
        </w:rPr>
        <w:t>进行评审。</w:t>
      </w:r>
    </w:p>
    <w:p>
      <w:pPr>
        <w:tabs>
          <w:tab w:val="left" w:pos="-1080"/>
        </w:tabs>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.3.3若要采用其他评标方法的，必须</w:t>
      </w:r>
      <w:r>
        <w:rPr>
          <w:color w:val="000000" w:themeColor="text1"/>
          <w:szCs w:val="21"/>
          <w14:textFill>
            <w14:solidFill>
              <w14:schemeClr w14:val="tx1"/>
            </w14:solidFill>
          </w14:textFill>
        </w:rPr>
        <w:t>报经政府采购监督管理部门批准，谈判小组按批准的评标方法进行评审。谈判邀请文件中应注明批准的评标方法。</w:t>
      </w:r>
    </w:p>
    <w:p>
      <w:pPr>
        <w:tabs>
          <w:tab w:val="left" w:pos="-1080"/>
        </w:tabs>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.3.4谈判小组向</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提交书面评标报告，并受</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委托直接确定中标供应商。</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4</w:t>
      </w:r>
      <w:r>
        <w:rPr>
          <w:rFonts w:eastAsia="黑体"/>
          <w:color w:val="000000" w:themeColor="text1"/>
          <w:sz w:val="24"/>
          <w14:textFill>
            <w14:solidFill>
              <w14:schemeClr w14:val="tx1"/>
            </w14:solidFill>
          </w14:textFill>
        </w:rPr>
        <w:t>．公开招标失败项目转为单一来源谈判方式采购</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.1谈判小组</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.1.1公开招标失败项目转为单一来源谈判方式采购后，评标委员会转为谈判小组，</w:t>
      </w:r>
      <w:r>
        <w:rPr>
          <w:color w:val="000000" w:themeColor="text1"/>
          <w14:textFill>
            <w14:solidFill>
              <w14:schemeClr w14:val="tx1"/>
            </w14:solidFill>
          </w14:textFill>
        </w:rPr>
        <w:t>谈判小组成员由</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代表和有关专家共3人以上（含3人）的单数组成；其中专家的人数不得少于成员总数的三分之二；专家可重新抽取也可继续采用评标委员会内专家。</w:t>
      </w:r>
    </w:p>
    <w:p>
      <w:pPr>
        <w:tabs>
          <w:tab w:val="left" w:pos="-1080"/>
        </w:tabs>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.1.2</w:t>
      </w:r>
      <w:r>
        <w:rPr>
          <w:color w:val="000000" w:themeColor="text1"/>
          <w14:textFill>
            <w14:solidFill>
              <w14:schemeClr w14:val="tx1"/>
            </w14:solidFill>
          </w14:textFill>
        </w:rPr>
        <w:t>谈判前，谈判小组将对单一来源供应商的谈判应答文件进行审查，</w:t>
      </w:r>
      <w:r>
        <w:rPr>
          <w:bCs/>
          <w:color w:val="000000" w:themeColor="text1"/>
          <w14:textFill>
            <w14:solidFill>
              <w14:schemeClr w14:val="tx1"/>
            </w14:solidFill>
          </w14:textFill>
        </w:rPr>
        <w:t>当谈判应答文件出现下列情况之一的将视为无效，按废标处理，不得进入谈判，</w:t>
      </w:r>
      <w:r>
        <w:rPr>
          <w:b/>
          <w:color w:val="000000" w:themeColor="text1"/>
          <w14:textFill>
            <w14:solidFill>
              <w14:schemeClr w14:val="tx1"/>
            </w14:solidFill>
          </w14:textFill>
        </w:rPr>
        <w:t>具体内容见原招标文件中投标文件初审表的《资格性检查表》部分以及谈判邀请中相应的变动部分。</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.2谈判程序</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.2.1参加谈判的供应商和谈判小组成员填写谈判登记表，并交验证明文件（法定代表人证明书、法人授权委托书、被授权的谈判代表身份证原件）。</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.2.2谈判小组主持人宣布谈判规则和谈判纪律。</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.2.3在谈判中，谈判小组将就以下谈判内容跟供应商进行谈判：</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（1）项目方案；</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（2）报价；</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（3）其它相关事项。</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原招标文件或谈判邀请文件有实质性变动的，谈判小组应当通过</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通知供应商。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.2.4谈判小组可以用书面形式要求供应商对其谈判应答文件含义不明确的内容作必要的澄清或者说明，重要问题供应商应以书面形式进行澄清、说明。</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.2.5 允许供应商在谈判结束之前根据谈判小组提出的内容进行澄清、修改或完善，或对项目方案进行相应的调整。</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.2.6供应商对谈判应答文件进行修改，都应形成文字材料，并经供应商谈判授权人签字认可。</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.2.7谈判小组与单一来源供应商进行谈判。供应商有三次更改机会；供应商应在规定的时间内提出最后更改及书面承诺。</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.2.8有下列情形之一的，供应商的谈判结果作废标处理，</w:t>
      </w:r>
      <w:r>
        <w:rPr>
          <w:b/>
          <w:color w:val="000000" w:themeColor="text1"/>
          <w:szCs w:val="21"/>
          <w14:textFill>
            <w14:solidFill>
              <w14:schemeClr w14:val="tx1"/>
            </w14:solidFill>
          </w14:textFill>
        </w:rPr>
        <w:t>具体内容见原招标文件中投标文件初审表的《符合性检查表》部分以及谈判邀请中相应的变动部分。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.2.9谈判结束后，谈判小组根据供应商提供的谈判应答文件、谈判过程中产生的相关资料，对供应商谈判应答文件进行评估与比较，提出书面评审意见。</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.2.10谈判小组将对谈判过程进行记录，以存档备查。</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.3评标方法和定标原则</w:t>
      </w:r>
    </w:p>
    <w:p>
      <w:pPr>
        <w:tabs>
          <w:tab w:val="left" w:pos="-1080"/>
        </w:tabs>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.3.1</w:t>
      </w:r>
      <w:r>
        <w:rPr>
          <w:b/>
          <w:color w:val="000000" w:themeColor="text1"/>
          <w:szCs w:val="21"/>
          <w14:textFill>
            <w14:solidFill>
              <w14:schemeClr w14:val="tx1"/>
            </w14:solidFill>
          </w14:textFill>
        </w:rPr>
        <w:t>单一来源谈判采用最低评标价法。</w:t>
      </w:r>
      <w:r>
        <w:rPr>
          <w:color w:val="000000" w:themeColor="text1"/>
          <w14:textFill>
            <w14:solidFill>
              <w14:schemeClr w14:val="tx1"/>
            </w14:solidFill>
          </w14:textFill>
        </w:rPr>
        <w:t>原招标文件若采用</w:t>
      </w:r>
      <w:r>
        <w:rPr>
          <w:bCs/>
          <w:color w:val="000000" w:themeColor="text1"/>
          <w14:textFill>
            <w14:solidFill>
              <w14:schemeClr w14:val="tx1"/>
            </w14:solidFill>
          </w14:textFill>
        </w:rPr>
        <w:t>最低评标价法以外的评标方法，转为竞争性谈判后，评标方法改为</w:t>
      </w:r>
      <w:r>
        <w:rPr>
          <w:color w:val="000000" w:themeColor="text1"/>
          <w:szCs w:val="21"/>
          <w14:textFill>
            <w14:solidFill>
              <w14:schemeClr w14:val="tx1"/>
            </w14:solidFill>
          </w14:textFill>
        </w:rPr>
        <w:t>最低评标价法。谈判小组</w:t>
      </w:r>
      <w:r>
        <w:rPr>
          <w:color w:val="000000" w:themeColor="text1"/>
          <w14:textFill>
            <w14:solidFill>
              <w14:schemeClr w14:val="tx1"/>
            </w14:solidFill>
          </w14:textFill>
        </w:rPr>
        <w:t>对谈判应答文件进行评审和比较，对供应商最终的方案、服务和投资等谈判结果按本须知第2</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.1.1的</w:t>
      </w:r>
      <w:r>
        <w:rPr>
          <w:b/>
          <w:bCs/>
          <w:color w:val="000000" w:themeColor="text1"/>
          <w14:textFill>
            <w14:solidFill>
              <w14:schemeClr w14:val="tx1"/>
            </w14:solidFill>
          </w14:textFill>
        </w:rPr>
        <w:t>最低评标价法</w:t>
      </w:r>
      <w:r>
        <w:rPr>
          <w:color w:val="000000" w:themeColor="text1"/>
          <w14:textFill>
            <w14:solidFill>
              <w14:schemeClr w14:val="tx1"/>
            </w14:solidFill>
          </w14:textFill>
        </w:rPr>
        <w:t>进行评审。</w:t>
      </w:r>
    </w:p>
    <w:p>
      <w:pPr>
        <w:tabs>
          <w:tab w:val="left" w:pos="-1080"/>
        </w:tabs>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.3.2谈判小组向</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提交书面评标报告，并受</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委托直接确定中标供应商。</w:t>
      </w:r>
    </w:p>
    <w:p>
      <w:pPr>
        <w:pStyle w:val="4"/>
        <w:numPr>
          <w:ilvl w:val="0"/>
          <w:numId w:val="1"/>
        </w:numPr>
        <w:adjustRightInd w:val="0"/>
        <w:spacing w:before="156" w:beforeLines="50" w:after="156" w:afterLines="50" w:line="240" w:lineRule="auto"/>
        <w:jc w:val="center"/>
        <w:textAlignment w:val="baseline"/>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合同的授予</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5</w:t>
      </w:r>
      <w:r>
        <w:rPr>
          <w:rFonts w:eastAsia="黑体"/>
          <w:color w:val="000000" w:themeColor="text1"/>
          <w:sz w:val="24"/>
          <w14:textFill>
            <w14:solidFill>
              <w14:schemeClr w14:val="tx1"/>
            </w14:solidFill>
          </w14:textFill>
        </w:rPr>
        <w:t>．合同授予标准</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.1本项目的合同将授予按本招标文件规定评审确定的中标人。</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6</w:t>
      </w:r>
      <w:r>
        <w:rPr>
          <w:rFonts w:eastAsia="黑体"/>
          <w:color w:val="000000" w:themeColor="text1"/>
          <w:sz w:val="24"/>
          <w14:textFill>
            <w14:solidFill>
              <w14:schemeClr w14:val="tx1"/>
            </w14:solidFill>
          </w14:textFill>
        </w:rPr>
        <w:t>．接受和拒绝任何或所有投标的权力</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7</w:t>
      </w:r>
      <w:r>
        <w:rPr>
          <w:rFonts w:eastAsia="黑体"/>
          <w:color w:val="000000" w:themeColor="text1"/>
          <w:sz w:val="24"/>
          <w14:textFill>
            <w14:solidFill>
              <w14:schemeClr w14:val="tx1"/>
            </w14:solidFill>
          </w14:textFill>
        </w:rPr>
        <w:t>．合同协议书的签订</w:t>
      </w:r>
    </w:p>
    <w:p>
      <w:pPr>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.1中标人将于中标通知书发出之日起</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0日内，按照招标文件和投标文件内容与</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签订书面合同，合同书应采用本招标文件第</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部分规定的合同样本；</w:t>
      </w:r>
    </w:p>
    <w:p>
      <w:pPr>
        <w:spacing w:line="0" w:lineRule="atLeas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.2中标人如不按规定与</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签订合同，则</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将有充分的理由废除中标</w:t>
      </w:r>
      <w:r>
        <w:rPr>
          <w:rFonts w:hint="eastAsia"/>
          <w:color w:val="000000" w:themeColor="text1"/>
          <w:szCs w:val="21"/>
          <w14:textFill>
            <w14:solidFill>
              <w14:schemeClr w14:val="tx1"/>
            </w14:solidFill>
          </w14:textFill>
        </w:rPr>
        <w:t>；</w:t>
      </w:r>
    </w:p>
    <w:p>
      <w:pPr>
        <w:spacing w:line="0" w:lineRule="atLeas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.3中标人应当按照合同约定履行义务，完成中标项目，未</w:t>
      </w:r>
      <w:r>
        <w:rPr>
          <w:rFonts w:hint="eastAsia"/>
          <w:color w:val="000000" w:themeColor="text1"/>
          <w:szCs w:val="21"/>
          <w14:textFill>
            <w14:solidFill>
              <w14:schemeClr w14:val="tx1"/>
            </w14:solidFill>
          </w14:textFill>
        </w:rPr>
        <w:t>经</w:t>
      </w:r>
      <w:r>
        <w:rPr>
          <w:color w:val="000000" w:themeColor="text1"/>
          <w:szCs w:val="21"/>
          <w14:textFill>
            <w14:solidFill>
              <w14:schemeClr w14:val="tx1"/>
            </w14:solidFill>
          </w14:textFill>
        </w:rPr>
        <w:t>招标人及监管部门许可不得将中标项目转让（转包）给他人；</w:t>
      </w:r>
    </w:p>
    <w:p>
      <w:pPr>
        <w:spacing w:line="0" w:lineRule="atLeas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与中标人签订的服务合同必须遵守本招标文件的合同条件，并且不得更改合同条件。</w:t>
      </w:r>
    </w:p>
    <w:bookmarkEnd w:id="201"/>
    <w:bookmarkEnd w:id="202"/>
    <w:bookmarkEnd w:id="203"/>
    <w:bookmarkEnd w:id="204"/>
    <w:p>
      <w:pPr>
        <w:spacing w:line="0" w:lineRule="atLeast"/>
        <w:ind w:firstLine="411" w:firstLineChars="196"/>
        <w:jc w:val="center"/>
        <w:rPr>
          <w:color w:val="000000" w:themeColor="text1"/>
          <w:szCs w:val="21"/>
          <w14:textFill>
            <w14:solidFill>
              <w14:schemeClr w14:val="tx1"/>
            </w14:solidFill>
          </w14:textFill>
        </w:rPr>
      </w:pPr>
      <w:bookmarkStart w:id="205" w:name="bt其他资料由投标人自定"/>
      <w:bookmarkEnd w:id="205"/>
      <w:bookmarkStart w:id="206" w:name="bt开标一览表"/>
      <w:bookmarkEnd w:id="206"/>
      <w:bookmarkStart w:id="207" w:name="bt项目管理班子配备情况"/>
      <w:bookmarkEnd w:id="207"/>
      <w:bookmarkStart w:id="208" w:name="合同格式"/>
      <w:bookmarkEnd w:id="208"/>
      <w:bookmarkStart w:id="209" w:name="bt投标函"/>
      <w:bookmarkEnd w:id="209"/>
      <w:bookmarkStart w:id="210" w:name="bt技术标投标文件格式"/>
      <w:bookmarkEnd w:id="210"/>
      <w:bookmarkStart w:id="211" w:name="bt合同格式"/>
      <w:bookmarkEnd w:id="211"/>
      <w:bookmarkStart w:id="212" w:name="bt合同条款及格式"/>
      <w:bookmarkEnd w:id="212"/>
      <w:bookmarkStart w:id="213" w:name="bt合同条款"/>
      <w:bookmarkEnd w:id="213"/>
      <w:bookmarkStart w:id="214" w:name="bt其他资料2"/>
      <w:bookmarkEnd w:id="214"/>
      <w:bookmarkStart w:id="215" w:name="bt投标人情况介绍"/>
      <w:bookmarkEnd w:id="215"/>
      <w:bookmarkStart w:id="216" w:name="_33._合同授予标准"/>
      <w:bookmarkEnd w:id="216"/>
      <w:bookmarkStart w:id="217" w:name="bt投标报价汇总表"/>
      <w:bookmarkEnd w:id="217"/>
      <w:bookmarkStart w:id="218" w:name="bt投标文件签署授权委托书"/>
      <w:bookmarkEnd w:id="218"/>
      <w:bookmarkStart w:id="219" w:name="bt本工程承诺书"/>
      <w:bookmarkEnd w:id="219"/>
      <w:bookmarkStart w:id="220" w:name="bt商务标投标文件格式"/>
      <w:bookmarkEnd w:id="220"/>
      <w:r>
        <w:rPr>
          <w:color w:val="000000" w:themeColor="text1"/>
          <w14:textFill>
            <w14:solidFill>
              <w14:schemeClr w14:val="tx1"/>
            </w14:solidFill>
          </w14:textFill>
        </w:rPr>
        <w:t>---- END ----</w:t>
      </w:r>
    </w:p>
    <w:p>
      <w:pPr>
        <w:pStyle w:val="21"/>
        <w:spacing w:before="120" w:after="120"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21"/>
        <w:spacing w:before="120" w:after="120" w:line="360" w:lineRule="auto"/>
        <w:rPr>
          <w:rFonts w:ascii="Times New Roman" w:hAnsi="Times New Roman" w:eastAsia="黑体"/>
          <w:b w:val="0"/>
          <w:color w:val="000000" w:themeColor="text1"/>
          <w:sz w:val="44"/>
          <w14:textFill>
            <w14:solidFill>
              <w14:schemeClr w14:val="tx1"/>
            </w14:solidFill>
          </w14:textFill>
        </w:rPr>
      </w:pPr>
      <w:r>
        <w:rPr>
          <w:rFonts w:ascii="Times New Roman" w:hAnsi="Times New Roman" w:eastAsia="黑体"/>
          <w:b w:val="0"/>
          <w:color w:val="000000" w:themeColor="text1"/>
          <w:sz w:val="44"/>
          <w14:textFill>
            <w14:solidFill>
              <w14:schemeClr w14:val="tx1"/>
            </w14:solidFill>
          </w14:textFill>
        </w:rPr>
        <w:t>第二部分</w:t>
      </w:r>
      <w:r>
        <w:rPr>
          <w:rFonts w:hint="eastAsia" w:ascii="Times New Roman" w:hAnsi="Times New Roman" w:eastAsia="黑体"/>
          <w:b w:val="0"/>
          <w:color w:val="000000" w:themeColor="text1"/>
          <w:sz w:val="44"/>
          <w14:textFill>
            <w14:solidFill>
              <w14:schemeClr w14:val="tx1"/>
            </w14:solidFill>
          </w14:textFill>
        </w:rPr>
        <w:t xml:space="preserve"> </w:t>
      </w:r>
      <w:r>
        <w:rPr>
          <w:rFonts w:ascii="Times New Roman" w:hAnsi="Times New Roman" w:eastAsia="黑体"/>
          <w:b w:val="0"/>
          <w:color w:val="000000" w:themeColor="text1"/>
          <w:sz w:val="44"/>
          <w14:textFill>
            <w14:solidFill>
              <w14:schemeClr w14:val="tx1"/>
            </w14:solidFill>
          </w14:textFill>
        </w:rPr>
        <w:t>招标项目要求</w:t>
      </w:r>
    </w:p>
    <w:p>
      <w:pPr>
        <w:pStyle w:val="21"/>
        <w:spacing w:before="0" w:after="0" w:line="360" w:lineRule="auto"/>
        <w:ind w:left="1095"/>
        <w:outlineLvl w:val="1"/>
        <w:rPr>
          <w:rFonts w:ascii="Times New Roman" w:hAnsi="Times New Roman" w:eastAsia="黑体"/>
          <w:b w:val="0"/>
          <w:color w:val="000000" w:themeColor="text1"/>
          <w:sz w:val="30"/>
          <w:szCs w:val="30"/>
          <w14:textFill>
            <w14:solidFill>
              <w14:schemeClr w14:val="tx1"/>
            </w14:solidFill>
          </w14:textFill>
        </w:rPr>
      </w:pPr>
      <w:r>
        <w:rPr>
          <w:rFonts w:ascii="Times New Roman" w:hAnsi="Times New Roman" w:eastAsia="黑体"/>
          <w:b w:val="0"/>
          <w:color w:val="000000" w:themeColor="text1"/>
          <w:sz w:val="30"/>
          <w:szCs w:val="30"/>
          <w14:textFill>
            <w14:solidFill>
              <w14:schemeClr w14:val="tx1"/>
            </w14:solidFill>
          </w14:textFill>
        </w:rPr>
        <w:t>第一章</w:t>
      </w:r>
      <w:r>
        <w:rPr>
          <w:rFonts w:hint="eastAsia" w:ascii="Times New Roman" w:hAnsi="Times New Roman" w:eastAsia="黑体"/>
          <w:b w:val="0"/>
          <w:color w:val="000000" w:themeColor="text1"/>
          <w:sz w:val="30"/>
          <w:szCs w:val="30"/>
          <w14:textFill>
            <w14:solidFill>
              <w14:schemeClr w14:val="tx1"/>
            </w14:solidFill>
          </w14:textFill>
        </w:rPr>
        <w:t xml:space="preserve"> </w:t>
      </w:r>
      <w:r>
        <w:rPr>
          <w:rFonts w:ascii="Times New Roman" w:hAnsi="Times New Roman" w:eastAsia="黑体"/>
          <w:b w:val="0"/>
          <w:color w:val="000000" w:themeColor="text1"/>
          <w:sz w:val="30"/>
          <w:szCs w:val="30"/>
          <w14:textFill>
            <w14:solidFill>
              <w14:schemeClr w14:val="tx1"/>
            </w14:solidFill>
          </w14:textFill>
        </w:rPr>
        <w:t>招标公告</w:t>
      </w:r>
    </w:p>
    <w:p>
      <w:pPr>
        <w:ind w:firstLine="424" w:firstLineChars="202"/>
        <w:rPr>
          <w:kern w:val="0"/>
          <w:szCs w:val="21"/>
        </w:rPr>
      </w:pPr>
      <w:r>
        <w:rPr>
          <w:rFonts w:hint="eastAsia"/>
          <w:color w:val="000000" w:themeColor="text1"/>
          <w:kern w:val="0"/>
          <w:szCs w:val="21"/>
          <w14:textFill>
            <w14:solidFill>
              <w14:schemeClr w14:val="tx1"/>
            </w14:solidFill>
          </w14:textFill>
        </w:rPr>
        <w:t>哈尔滨工业大学现公开对哈尔滨工业大学（深圳）</w:t>
      </w:r>
      <w:r>
        <w:rPr>
          <w:rFonts w:hint="eastAsia"/>
          <w:color w:val="000000" w:themeColor="text1"/>
          <w:szCs w:val="21"/>
          <w14:textFill>
            <w14:solidFill>
              <w14:schemeClr w14:val="tx1"/>
            </w14:solidFill>
          </w14:textFill>
        </w:rPr>
        <w:t>实验与创新实践教育中心</w:t>
      </w:r>
      <w:r>
        <w:rPr>
          <w:rFonts w:hint="eastAsia"/>
          <w:color w:val="000000" w:themeColor="text1"/>
          <w:kern w:val="0"/>
          <w:szCs w:val="21"/>
          <w14:textFill>
            <w14:solidFill>
              <w14:schemeClr w14:val="tx1"/>
            </w14:solidFill>
          </w14:textFill>
        </w:rPr>
        <w:t>网站建设</w:t>
      </w:r>
      <w:r>
        <w:rPr>
          <w:color w:val="000000" w:themeColor="text1"/>
          <w:kern w:val="0"/>
          <w:szCs w:val="21"/>
          <w14:textFill>
            <w14:solidFill>
              <w14:schemeClr w14:val="tx1"/>
            </w14:solidFill>
          </w14:textFill>
        </w:rPr>
        <w:t>进行公开招标，欢迎符合资格</w:t>
      </w:r>
      <w:r>
        <w:rPr>
          <w:kern w:val="0"/>
          <w:szCs w:val="21"/>
        </w:rPr>
        <w:t>条件的供应商投标。</w:t>
      </w:r>
    </w:p>
    <w:p>
      <w:pPr>
        <w:ind w:firstLine="422" w:firstLineChars="200"/>
        <w:rPr>
          <w:b/>
          <w:szCs w:val="21"/>
        </w:rPr>
      </w:pPr>
      <w:r>
        <w:rPr>
          <w:b/>
          <w:szCs w:val="21"/>
        </w:rPr>
        <w:t>一、项目编号：HITSZ-EIC-IM01</w:t>
      </w:r>
    </w:p>
    <w:p>
      <w:pPr>
        <w:ind w:firstLine="422" w:firstLineChars="200"/>
        <w:rPr>
          <w:b/>
          <w:color w:val="000000" w:themeColor="text1"/>
          <w:kern w:val="0"/>
          <w:szCs w:val="21"/>
          <w14:textFill>
            <w14:solidFill>
              <w14:schemeClr w14:val="tx1"/>
            </w14:solidFill>
          </w14:textFill>
        </w:rPr>
      </w:pPr>
      <w:r>
        <w:rPr>
          <w:b/>
          <w:szCs w:val="21"/>
        </w:rPr>
        <w:t>二、项目名称：</w:t>
      </w:r>
      <w:r>
        <w:rPr>
          <w:rFonts w:hint="eastAsia"/>
          <w:b/>
          <w:kern w:val="0"/>
          <w:szCs w:val="21"/>
        </w:rPr>
        <w:t>哈尔滨工业大学（深圳</w:t>
      </w:r>
      <w:r>
        <w:rPr>
          <w:rFonts w:hint="eastAsia"/>
          <w:b/>
          <w:color w:val="000000" w:themeColor="text1"/>
          <w:kern w:val="0"/>
          <w:szCs w:val="21"/>
          <w14:textFill>
            <w14:solidFill>
              <w14:schemeClr w14:val="tx1"/>
            </w14:solidFill>
          </w14:textFill>
        </w:rPr>
        <w:t>）实验与创新实践教育中心网站建设</w:t>
      </w:r>
    </w:p>
    <w:p>
      <w:pPr>
        <w:ind w:firstLine="422" w:firstLineChars="200"/>
        <w:rPr>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三、</w:t>
      </w:r>
      <w:r>
        <w:rPr>
          <w:color w:val="000000" w:themeColor="text1"/>
          <w:kern w:val="0"/>
          <w:szCs w:val="21"/>
          <w14:textFill>
            <w14:solidFill>
              <w14:schemeClr w14:val="tx1"/>
            </w14:solidFill>
          </w14:textFill>
        </w:rPr>
        <w:t>项目内容及需求：(项目技术规格、参数及要求)</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1、项目内容：</w:t>
      </w:r>
      <w:r>
        <w:rPr>
          <w:rFonts w:hint="eastAsia"/>
          <w:color w:val="000000" w:themeColor="text1"/>
          <w:kern w:val="0"/>
          <w:szCs w:val="21"/>
          <w14:textFill>
            <w14:solidFill>
              <w14:schemeClr w14:val="tx1"/>
            </w14:solidFill>
          </w14:textFill>
        </w:rPr>
        <w:t>哈尔滨工业大学（深圳）实验与创新实践教育中心网站建设</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2、简要技术要求或招标项目的性质：详见采购文件项目内容。</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四、供应商资格条件：</w:t>
      </w:r>
    </w:p>
    <w:p>
      <w:pPr>
        <w:ind w:firstLine="420" w:firstLineChars="20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1、中华人民共和国境内注册的独立法人；</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、本项目不接受联合体投标，不允许分包转包。</w:t>
      </w:r>
    </w:p>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五</w:t>
      </w:r>
      <w:r>
        <w:rPr>
          <w:color w:val="000000" w:themeColor="text1"/>
          <w:kern w:val="0"/>
          <w:szCs w:val="21"/>
          <w14:textFill>
            <w14:solidFill>
              <w14:schemeClr w14:val="tx1"/>
            </w14:solidFill>
          </w14:textFill>
        </w:rPr>
        <w:t>、报名方式及报名资料：现场报名，报名时须提交营业执照副本复印件、法定代表人证明书、授权委托书、经办人身份证复印件。以上证明材料须加盖公章用A4纸装订成册，原件备查。</w:t>
      </w:r>
    </w:p>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六</w:t>
      </w:r>
      <w:r>
        <w:rPr>
          <w:color w:val="000000" w:themeColor="text1"/>
          <w:kern w:val="0"/>
          <w:szCs w:val="21"/>
          <w14:textFill>
            <w14:solidFill>
              <w14:schemeClr w14:val="tx1"/>
            </w14:solidFill>
          </w14:textFill>
        </w:rPr>
        <w:t>、</w:t>
      </w:r>
      <w:r>
        <w:t>投标截止时间：201</w:t>
      </w:r>
      <w:r>
        <w:rPr>
          <w:rFonts w:hint="eastAsia"/>
        </w:rPr>
        <w:t>8</w:t>
      </w:r>
      <w:r>
        <w:t>年</w:t>
      </w:r>
      <w:r>
        <w:rPr>
          <w:rFonts w:hint="eastAsia"/>
        </w:rPr>
        <w:t>11月18日17时0</w:t>
      </w:r>
      <w:r>
        <w:t>0分</w:t>
      </w:r>
      <w:r>
        <w:rPr>
          <w:color w:val="000000" w:themeColor="text1"/>
          <w:kern w:val="0"/>
          <w:szCs w:val="21"/>
          <w14:textFill>
            <w14:solidFill>
              <w14:schemeClr w14:val="tx1"/>
            </w14:solidFill>
          </w14:textFill>
        </w:rPr>
        <w:t>。</w:t>
      </w:r>
    </w:p>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七</w:t>
      </w:r>
      <w:r>
        <w:rPr>
          <w:color w:val="000000" w:themeColor="text1"/>
          <w:kern w:val="0"/>
          <w:szCs w:val="21"/>
          <w14:textFill>
            <w14:solidFill>
              <w14:schemeClr w14:val="tx1"/>
            </w14:solidFill>
          </w14:textFill>
        </w:rPr>
        <w:t>、投标文件递交地点：</w:t>
      </w:r>
      <w:r>
        <w:t>深圳市</w:t>
      </w:r>
      <w:r>
        <w:rPr>
          <w:rFonts w:hint="eastAsia"/>
        </w:rPr>
        <w:t>南山区西丽大学城哈尔滨工业大学校区G栋508</w:t>
      </w:r>
      <w:r>
        <w:rPr>
          <w:color w:val="000000" w:themeColor="text1"/>
          <w:kern w:val="0"/>
          <w:szCs w:val="21"/>
          <w14:textFill>
            <w14:solidFill>
              <w14:schemeClr w14:val="tx1"/>
            </w14:solidFill>
          </w14:textFill>
        </w:rPr>
        <w:t>。</w:t>
      </w:r>
    </w:p>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八</w:t>
      </w:r>
      <w:r>
        <w:rPr>
          <w:color w:val="000000" w:themeColor="text1"/>
          <w:kern w:val="0"/>
          <w:szCs w:val="21"/>
          <w14:textFill>
            <w14:solidFill>
              <w14:schemeClr w14:val="tx1"/>
            </w14:solidFill>
          </w14:textFill>
        </w:rPr>
        <w:t>、开标评标时间：</w:t>
      </w:r>
      <w:r>
        <w:t>201</w:t>
      </w:r>
      <w:r>
        <w:rPr>
          <w:rFonts w:hint="eastAsia"/>
        </w:rPr>
        <w:t>8</w:t>
      </w:r>
      <w:r>
        <w:t>年</w:t>
      </w:r>
      <w:r>
        <w:rPr>
          <w:rFonts w:hint="eastAsia"/>
        </w:rPr>
        <w:t>11月21日14时0</w:t>
      </w:r>
      <w:r>
        <w:t>0分。</w:t>
      </w:r>
    </w:p>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九</w:t>
      </w:r>
      <w:r>
        <w:rPr>
          <w:color w:val="000000" w:themeColor="text1"/>
          <w:kern w:val="0"/>
          <w:szCs w:val="21"/>
          <w14:textFill>
            <w14:solidFill>
              <w14:schemeClr w14:val="tx1"/>
            </w14:solidFill>
          </w14:textFill>
        </w:rPr>
        <w:t>、评标办法：综合评分法。</w:t>
      </w:r>
    </w:p>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十、定标方法：自定法。</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十</w:t>
      </w:r>
      <w:r>
        <w:rPr>
          <w:rFonts w:hint="eastAsia"/>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、开标地点：</w:t>
      </w:r>
      <w:r>
        <w:rPr>
          <w:rFonts w:hint="eastAsia"/>
        </w:rPr>
        <w:t>深圳市南山区西丽大学城哈尔滨工业大学校区G栋514。</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十</w:t>
      </w:r>
      <w:r>
        <w:rPr>
          <w:rFonts w:hint="eastAsia"/>
          <w:color w:val="000000" w:themeColor="text1"/>
          <w:kern w:val="0"/>
          <w:szCs w:val="21"/>
          <w14:textFill>
            <w14:solidFill>
              <w14:schemeClr w14:val="tx1"/>
            </w14:solidFill>
          </w14:textFill>
        </w:rPr>
        <w:t>二</w:t>
      </w:r>
      <w:r>
        <w:rPr>
          <w:color w:val="000000" w:themeColor="text1"/>
          <w:kern w:val="0"/>
          <w:szCs w:val="21"/>
          <w14:textFill>
            <w14:solidFill>
              <w14:schemeClr w14:val="tx1"/>
            </w14:solidFill>
          </w14:textFill>
        </w:rPr>
        <w:t>、落实的政府采购政策</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国务院办公厅关于建立政府强制采购节能产品制度的通知》（国办发〔2007〕51号）、《财政部、环保总局关于环境标志产品政府采购实施的意见》（财库[2006]90号）、《中共深圳市委深圳市人民政府&lt;关于实施自主创新战略建设国家创新型城市的决定&gt;有关配套政策文件的通知》(深府办[2006]60号) 、《中共深圳市委、深圳市人民政府关于全面推进循环经济发展的决定》（深发〔2006〕9号）。</w:t>
      </w:r>
    </w:p>
    <w:p>
      <w:pPr>
        <w:ind w:firstLine="420" w:firstLineChars="200"/>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十</w:t>
      </w:r>
      <w:r>
        <w:rPr>
          <w:rFonts w:hint="eastAsia"/>
          <w:color w:val="000000" w:themeColor="text1"/>
          <w:kern w:val="0"/>
          <w:szCs w:val="21"/>
          <w14:textFill>
            <w14:solidFill>
              <w14:schemeClr w14:val="tx1"/>
            </w14:solidFill>
          </w14:textFill>
        </w:rPr>
        <w:t>三</w:t>
      </w:r>
      <w:r>
        <w:rPr>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其他要求：</w:t>
      </w:r>
    </w:p>
    <w:p>
      <w:pPr>
        <w:widowControl/>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1、供应商</w:t>
      </w:r>
      <w:r>
        <w:rPr>
          <w:rFonts w:hint="eastAsia"/>
          <w:color w:val="000000" w:themeColor="text1"/>
          <w:kern w:val="0"/>
          <w:szCs w:val="21"/>
          <w14:textFill>
            <w14:solidFill>
              <w14:schemeClr w14:val="tx1"/>
            </w14:solidFill>
          </w14:textFill>
        </w:rPr>
        <w:t>临时退出招标的</w:t>
      </w:r>
      <w:r>
        <w:rPr>
          <w:color w:val="000000" w:themeColor="text1"/>
          <w:kern w:val="0"/>
          <w:szCs w:val="21"/>
          <w14:textFill>
            <w14:solidFill>
              <w14:schemeClr w14:val="tx1"/>
            </w14:solidFill>
          </w14:textFill>
        </w:rPr>
        <w:t>，请在开标前3日以书面形式通知招标机构（开标当日不计算在内）。</w:t>
      </w:r>
    </w:p>
    <w:p>
      <w:pPr>
        <w:widowControl/>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2、本采购文件解释权归</w:t>
      </w:r>
      <w:r>
        <w:rPr>
          <w:rFonts w:hint="eastAsia"/>
          <w:color w:val="000000" w:themeColor="text1"/>
          <w:kern w:val="0"/>
          <w:szCs w:val="21"/>
          <w14:textFill>
            <w14:solidFill>
              <w14:schemeClr w14:val="tx1"/>
            </w14:solidFill>
          </w14:textFill>
        </w:rPr>
        <w:t>哈尔滨工业大学（深圳）实验与创新实践教育中心</w:t>
      </w:r>
      <w:r>
        <w:rPr>
          <w:color w:val="000000" w:themeColor="text1"/>
          <w:kern w:val="0"/>
          <w:szCs w:val="21"/>
          <w14:textFill>
            <w14:solidFill>
              <w14:schemeClr w14:val="tx1"/>
            </w14:solidFill>
          </w14:textFill>
        </w:rPr>
        <w:t>所有。</w:t>
      </w:r>
    </w:p>
    <w:p>
      <w:pPr>
        <w:widowControl/>
        <w:ind w:firstLine="413" w:firstLineChars="196"/>
        <w:jc w:val="left"/>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重要提示：</w:t>
      </w:r>
      <w:r>
        <w:rPr>
          <w:color w:val="000000" w:themeColor="text1"/>
          <w:szCs w:val="21"/>
          <w14:textFill>
            <w14:solidFill>
              <w14:schemeClr w14:val="tx1"/>
            </w14:solidFill>
          </w14:textFill>
        </w:rPr>
        <w:t>供应商有义务在招标活动期间浏览</w:t>
      </w:r>
      <w:r>
        <w:rPr>
          <w:rFonts w:hint="eastAsia"/>
          <w:color w:val="000000" w:themeColor="text1"/>
          <w:szCs w:val="21"/>
          <w14:textFill>
            <w14:solidFill>
              <w14:schemeClr w14:val="tx1"/>
            </w14:solidFill>
          </w14:textFill>
        </w:rPr>
        <w:t>哈尔滨工业大学（深圳）官网（www.hitsz.edu.cn）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在以上网站公布的与本次招标项目有关的信息视为已送达各供应商。</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联系部门</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哈尔滨工业大学（深圳）实验与创新实践教育中心</w:t>
      </w:r>
    </w:p>
    <w:p>
      <w:pPr>
        <w:ind w:firstLine="840" w:firstLine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联系人：</w:t>
      </w:r>
      <w:r>
        <w:rPr>
          <w:rFonts w:hint="eastAsia"/>
        </w:rPr>
        <w:t>徐老师</w:t>
      </w:r>
    </w:p>
    <w:p>
      <w:pPr>
        <w:ind w:firstLine="840" w:firstLine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联系电话：</w:t>
      </w:r>
      <w:r>
        <w:rPr>
          <w:rFonts w:hint="eastAsia"/>
        </w:rPr>
        <w:t>18355180352</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公告查询网址</w:t>
      </w:r>
      <w:r>
        <w:rPr>
          <w:rFonts w:hint="eastAsia"/>
          <w:color w:val="000000" w:themeColor="text1"/>
          <w:szCs w:val="21"/>
          <w14:textFill>
            <w14:solidFill>
              <w14:schemeClr w14:val="tx1"/>
            </w14:solidFill>
          </w14:textFill>
        </w:rPr>
        <w:t>：www.hitsz.edu.cn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哈尔滨工业大学（深圳）官网</w:t>
      </w:r>
      <w:r>
        <w:rPr>
          <w:color w:val="000000" w:themeColor="text1"/>
          <w:szCs w:val="21"/>
          <w14:textFill>
            <w14:solidFill>
              <w14:schemeClr w14:val="tx1"/>
            </w14:solidFill>
          </w14:textFill>
        </w:rPr>
        <w:t>）</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p>
      <w:pPr>
        <w:widowControl/>
        <w:spacing w:before="100" w:beforeAutospacing="1" w:after="100" w:afterAutospacing="1"/>
        <w:ind w:right="560" w:firstLine="2730" w:firstLineChars="1300"/>
        <w:jc w:val="righ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哈尔滨工业大学（深圳）实验与创新实践教育中心</w:t>
      </w:r>
    </w:p>
    <w:p>
      <w:pPr>
        <w:pStyle w:val="7"/>
        <w:adjustRightInd w:val="0"/>
        <w:snapToGrid w:val="0"/>
        <w:ind w:right="420" w:firstLine="6615" w:firstLineChars="3150"/>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二〇一八年十一月九日</w:t>
      </w:r>
    </w:p>
    <w:p>
      <w:pPr>
        <w:pStyle w:val="21"/>
        <w:spacing w:before="120" w:after="120"/>
        <w:outlineLvl w:val="1"/>
        <w:rPr>
          <w:rFonts w:ascii="Times New Roman" w:hAnsi="Times New Roman"/>
          <w:color w:val="000000" w:themeColor="text1"/>
          <w14:textFill>
            <w14:solidFill>
              <w14:schemeClr w14:val="tx1"/>
            </w14:solidFill>
          </w14:textFill>
        </w:rPr>
      </w:pPr>
      <w:r>
        <w:rPr>
          <w:rFonts w:ascii="Times New Roman" w:hAnsi="Times New Roman" w:eastAsia="黑体"/>
          <w:b w:val="0"/>
          <w:color w:val="000000" w:themeColor="text1"/>
          <w:sz w:val="30"/>
          <w:szCs w:val="30"/>
          <w14:textFill>
            <w14:solidFill>
              <w14:schemeClr w14:val="tx1"/>
            </w14:solidFill>
          </w14:textFill>
        </w:rPr>
        <w:br w:type="page"/>
      </w:r>
      <w:r>
        <w:rPr>
          <w:rFonts w:ascii="Times New Roman" w:hAnsi="Times New Roman" w:eastAsia="黑体"/>
          <w:b w:val="0"/>
          <w:color w:val="000000" w:themeColor="text1"/>
          <w:sz w:val="30"/>
          <w:szCs w:val="30"/>
          <w14:textFill>
            <w14:solidFill>
              <w14:schemeClr w14:val="tx1"/>
            </w14:solidFill>
          </w14:textFill>
        </w:rPr>
        <w:t>第二章</w:t>
      </w:r>
      <w:r>
        <w:rPr>
          <w:rFonts w:hint="eastAsia" w:ascii="Times New Roman" w:hAnsi="Times New Roman" w:eastAsia="黑体"/>
          <w:b w:val="0"/>
          <w:color w:val="000000" w:themeColor="text1"/>
          <w:sz w:val="30"/>
          <w:szCs w:val="30"/>
          <w14:textFill>
            <w14:solidFill>
              <w14:schemeClr w14:val="tx1"/>
            </w14:solidFill>
          </w14:textFill>
        </w:rPr>
        <w:t xml:space="preserve"> </w:t>
      </w:r>
      <w:r>
        <w:rPr>
          <w:rFonts w:ascii="Times New Roman" w:hAnsi="Times New Roman" w:eastAsia="黑体"/>
          <w:b w:val="0"/>
          <w:color w:val="000000" w:themeColor="text1"/>
          <w:sz w:val="30"/>
          <w:szCs w:val="30"/>
          <w14:textFill>
            <w14:solidFill>
              <w14:schemeClr w14:val="tx1"/>
            </w14:solidFill>
          </w14:textFill>
        </w:rPr>
        <w:t>项目需求</w:t>
      </w:r>
    </w:p>
    <w:p>
      <w:pPr>
        <w:snapToGrid w:val="0"/>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重点提示：</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1.招标文件澄清的说明</w:t>
      </w:r>
    </w:p>
    <w:p>
      <w:pPr>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根据招标文件第一部分第二章第九款“招标文件的澄清”的规定，任何要求对招标文件进行澄清的投标人，均应于“招标公告”中所述答疑截止时间前书面通知</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对于没有提出澄清又参与了该项目投标的供应商将被视为完全认同该招标文件，投标截止期后不再受理针对招标文件的相关投诉。对采购文件中描述有歧义或前后不一致的地方，评标委员会有权进行评判，但对同一条款的评判应适用于每个投标人。</w:t>
      </w:r>
    </w:p>
    <w:p>
      <w:pPr>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2.参考品牌的说明</w:t>
      </w:r>
    </w:p>
    <w:p>
      <w:pPr>
        <w:ind w:firstLine="411" w:firstLineChars="196"/>
        <w:rPr>
          <w:b/>
          <w:color w:val="000000" w:themeColor="text1"/>
          <w:sz w:val="28"/>
          <w:szCs w:val="28"/>
          <w14:textFill>
            <w14:solidFill>
              <w14:schemeClr w14:val="tx1"/>
            </w14:solidFill>
          </w14:textFill>
        </w:rPr>
      </w:pPr>
      <w:r>
        <w:rPr>
          <w:color w:val="000000" w:themeColor="text1"/>
          <w14:textFill>
            <w14:solidFill>
              <w14:schemeClr w14:val="tx1"/>
            </w14:solidFill>
          </w14:textFill>
        </w:rPr>
        <w:t>招标文件中所涉及产品品牌均为质量“相当于”要求，非指定性要求，投标人可自主选择质量相</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的其他品牌产品投标。</w:t>
      </w:r>
    </w:p>
    <w:p>
      <w:pPr>
        <w:ind w:firstLine="413" w:firstLineChars="196"/>
        <w:rPr>
          <w:b/>
          <w:color w:val="000000" w:themeColor="text1"/>
          <w14:textFill>
            <w14:solidFill>
              <w14:schemeClr w14:val="tx1"/>
            </w14:solidFill>
          </w14:textFill>
        </w:rPr>
      </w:pPr>
      <w:r>
        <w:rPr>
          <w:b/>
          <w:color w:val="000000" w:themeColor="text1"/>
          <w14:textFill>
            <w14:solidFill>
              <w14:schemeClr w14:val="tx1"/>
            </w14:solidFill>
          </w14:textFill>
        </w:rPr>
        <w:t>3、政策导向</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按照《国务院办公厅关于建立政府强制采购节能产品制度的通知》（国办发〔2007〕51号）、《财政部、环保总局关于环境标志产品政府采购实施的意见》（财库[2006]90号）、《中共深圳市委深圳市人民政府&lt;关于实施自主创新战略建设国家创新型城市的决定&gt;有关配套政策文件的通知》(深府办[2006]60号) 、《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3.1.1财政部、国家发展和改革委员会制定的《节能产品政府采购清单》，财政部、环境保护部制定的《环境标志产品政府采购清单》中列示的企业及产品，详见中国政府采购网（http://www.ccgp.gov.cn/）首页。</w:t>
      </w:r>
    </w:p>
    <w:p>
      <w:pPr>
        <w:pStyle w:val="21"/>
        <w:spacing w:before="120" w:after="120"/>
        <w:ind w:firstLine="434"/>
        <w:jc w:val="left"/>
        <w:outlineLvl w:val="1"/>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3.2进入以上清单范围的投标产品将在评标时获得竞争优势。</w:t>
      </w:r>
    </w:p>
    <w:p>
      <w:pPr>
        <w:jc w:val="center"/>
        <w:rPr>
          <w:rFonts w:ascii="黑体" w:hAnsi="黑体" w:eastAsia="黑体"/>
          <w:color w:val="000000" w:themeColor="text1"/>
          <w:sz w:val="32"/>
          <w:szCs w:val="32"/>
          <w14:textFill>
            <w14:solidFill>
              <w14:schemeClr w14:val="tx1"/>
            </w14:solidFill>
          </w14:textFill>
        </w:rPr>
      </w:pPr>
      <w:r>
        <w:rPr>
          <w:b/>
          <w:color w:val="000000" w:themeColor="text1"/>
          <w:szCs w:val="21"/>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用户需求书</w:t>
      </w:r>
      <w:bookmarkStart w:id="221" w:name="_Toc100052357"/>
      <w:bookmarkEnd w:id="221"/>
      <w:bookmarkStart w:id="222" w:name="_Toc101074867"/>
      <w:bookmarkEnd w:id="222"/>
    </w:p>
    <w:p>
      <w:pPr>
        <w:ind w:firstLine="413" w:firstLineChars="196"/>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一、</w:t>
      </w:r>
      <w:r>
        <w:rPr>
          <w:b/>
          <w:color w:val="000000" w:themeColor="text1"/>
          <w:szCs w:val="21"/>
          <w14:textFill>
            <w14:solidFill>
              <w14:schemeClr w14:val="tx1"/>
            </w14:solidFill>
          </w14:textFill>
        </w:rPr>
        <w:t>项目背景</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与创新实践教育中心网站是学校信息化建设的重要组成部分，网站的建立对于扩大校区影响力，提高办事效率，宣传校区良好形象起到积极的作用。为向全校师生提供全面、权威、快速的信息交互平台和问题解决通道，建立一个稳定可靠，简明美观、交互性好的实验与创新实践教育中心网站势在必行。</w:t>
      </w:r>
    </w:p>
    <w:p>
      <w:pPr>
        <w:ind w:firstLine="413" w:firstLineChars="196"/>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二、</w:t>
      </w:r>
      <w:r>
        <w:rPr>
          <w:b/>
          <w:color w:val="000000" w:themeColor="text1"/>
          <w:szCs w:val="21"/>
          <w14:textFill>
            <w14:solidFill>
              <w14:schemeClr w14:val="tx1"/>
            </w14:solidFill>
          </w14:textFill>
        </w:rPr>
        <w:t>服务类清单</w:t>
      </w:r>
    </w:p>
    <w:tbl>
      <w:tblPr>
        <w:tblStyle w:val="24"/>
        <w:tblW w:w="9229" w:type="dxa"/>
        <w:tblInd w:w="95" w:type="dxa"/>
        <w:tblLayout w:type="fixed"/>
        <w:tblCellMar>
          <w:top w:w="0" w:type="dxa"/>
          <w:left w:w="108" w:type="dxa"/>
          <w:bottom w:w="0" w:type="dxa"/>
          <w:right w:w="108" w:type="dxa"/>
        </w:tblCellMar>
      </w:tblPr>
      <w:tblGrid>
        <w:gridCol w:w="496"/>
        <w:gridCol w:w="1502"/>
        <w:gridCol w:w="1134"/>
        <w:gridCol w:w="709"/>
        <w:gridCol w:w="708"/>
        <w:gridCol w:w="3361"/>
        <w:gridCol w:w="1319"/>
      </w:tblGrid>
      <w:tr>
        <w:tblPrEx>
          <w:tblCellMar>
            <w:top w:w="0" w:type="dxa"/>
            <w:left w:w="108" w:type="dxa"/>
            <w:bottom w:w="0" w:type="dxa"/>
            <w:right w:w="108" w:type="dxa"/>
          </w:tblCellMar>
        </w:tblPrEx>
        <w:trPr>
          <w:trHeight w:val="252"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5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采购计划编号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需求内容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3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财政预算限额</w:t>
            </w:r>
            <w:r>
              <w:rPr>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元</w:t>
            </w:r>
            <w:r>
              <w:rPr>
                <w:b/>
                <w:bCs/>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1975"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50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实验中心门户网站</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c>
          <w:tcPr>
            <w:tcW w:w="33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实验中心集中展示门户，网站群架构，主要包括：（1）前端建设，包括首页、中心概况、中心机构、实验教学、实验设备、创新实践、规章制度、下载中心等；（2）后台管理，包括权限管理、信息更新和发布、首页管理、栏目管理、资源管理等功能；（3）可视化展示，建立学校、实验中心、实验室三级地理位置展示结构，实现基于位置标识的内容（flash/全景图片/视频/微课等）动态配置，可实现与其他系统资源数据集成提供动态数据显示，可对接电子班牌、拼接屏等多种设备。另外，整个网站应为响应式网站，能在PC端及各尺寸的安卓、IOS设备上进行适配。网站需实现与实验室管理系统数据对接及实时联动。网站可配合实验中心组织结构，提供多级化层次信息发布，需预留动态信息发布接口，可实现与校级平台的数据对接。网站包括中文版和英文版。</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60000</w:t>
            </w:r>
          </w:p>
        </w:tc>
      </w:tr>
    </w:tbl>
    <w:p>
      <w:pPr>
        <w:ind w:firstLine="413" w:firstLineChars="196"/>
        <w:rPr>
          <w:b/>
          <w:color w:val="000000" w:themeColor="text1"/>
          <w:szCs w:val="21"/>
          <w14:textFill>
            <w14:solidFill>
              <w14:schemeClr w14:val="tx1"/>
            </w14:solidFill>
          </w14:textFill>
        </w:rPr>
      </w:pPr>
    </w:p>
    <w:p>
      <w:pPr>
        <w:ind w:firstLine="413" w:firstLineChars="196"/>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三、</w:t>
      </w:r>
      <w:r>
        <w:rPr>
          <w:b/>
          <w:color w:val="000000" w:themeColor="text1"/>
          <w:szCs w:val="21"/>
          <w14:textFill>
            <w14:solidFill>
              <w14:schemeClr w14:val="tx1"/>
            </w14:solidFill>
          </w14:textFill>
        </w:rPr>
        <w:t>具体技术要求</w:t>
      </w:r>
    </w:p>
    <w:p>
      <w:pPr>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（一）建设内容</w:t>
      </w:r>
    </w:p>
    <w:p>
      <w:pPr>
        <w:ind w:firstLine="422" w:firstLineChars="200"/>
        <w:rPr>
          <w:b/>
          <w:color w:val="000000" w:themeColor="text1"/>
          <w:szCs w:val="21"/>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242" w:type="dxa"/>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2127" w:type="dxa"/>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功能模块</w:t>
            </w:r>
          </w:p>
        </w:tc>
        <w:tc>
          <w:tcPr>
            <w:tcW w:w="6379" w:type="dxa"/>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前端主要功能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工具栏</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包含</w:t>
            </w:r>
            <w:r>
              <w:rPr>
                <w:rFonts w:hint="eastAsia" w:ascii="宋体" w:hAnsi="宋体" w:cs="宋体"/>
                <w:color w:val="000000" w:themeColor="text1"/>
                <w:kern w:val="0"/>
                <w:szCs w:val="21"/>
                <w14:textFill>
                  <w14:solidFill>
                    <w14:schemeClr w14:val="tx1"/>
                  </w14:solidFill>
                </w14:textFill>
              </w:rPr>
              <w:t>中心概况、中心机构、实验教学、实验设备、创新实践、规章制度、下载中心等，栏目可以根据用户需求后期设置。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轮播图</w:t>
            </w:r>
          </w:p>
        </w:tc>
        <w:tc>
          <w:tcPr>
            <w:tcW w:w="6379"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以图片</w:t>
            </w:r>
            <w:r>
              <w:rPr>
                <w:rFonts w:hint="eastAsia"/>
                <w:color w:val="000000" w:themeColor="text1"/>
                <w14:textFill>
                  <w14:solidFill>
                    <w14:schemeClr w14:val="tx1"/>
                  </w14:solidFill>
                </w14:textFill>
              </w:rPr>
              <w:t>轮播方式</w:t>
            </w:r>
            <w:r>
              <w:rPr>
                <w:color w:val="000000" w:themeColor="text1"/>
                <w14:textFill>
                  <w14:solidFill>
                    <w14:schemeClr w14:val="tx1"/>
                  </w14:solidFill>
                </w14:textFill>
              </w:rPr>
              <w:t>介绍</w:t>
            </w:r>
            <w:r>
              <w:rPr>
                <w:rFonts w:hint="eastAsia"/>
                <w:color w:val="000000" w:themeColor="text1"/>
                <w14:textFill>
                  <w14:solidFill>
                    <w14:schemeClr w14:val="tx1"/>
                  </w14:solidFill>
                </w14:textFill>
              </w:rPr>
              <w:t>实验中心的学科实验室</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实验中心动态</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展示</w:t>
            </w:r>
            <w:r>
              <w:rPr>
                <w:color w:val="000000" w:themeColor="text1"/>
                <w14:textFill>
                  <w14:solidFill>
                    <w14:schemeClr w14:val="tx1"/>
                  </w14:solidFill>
                </w14:textFill>
              </w:rPr>
              <w:t>近期</w:t>
            </w:r>
            <w:r>
              <w:rPr>
                <w:rFonts w:hint="eastAsia"/>
                <w:color w:val="000000" w:themeColor="text1"/>
                <w14:textFill>
                  <w14:solidFill>
                    <w14:schemeClr w14:val="tx1"/>
                  </w14:solidFill>
                </w14:textFill>
              </w:rPr>
              <w:t>实验中心新闻</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1.1.4</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通知公告</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公布最新通知，包括实验室预约</w:t>
            </w:r>
            <w:r>
              <w:rPr>
                <w:color w:val="000000" w:themeColor="text1"/>
                <w14:textFill>
                  <w14:solidFill>
                    <w14:schemeClr w14:val="tx1"/>
                  </w14:solidFill>
                </w14:textFill>
              </w:rPr>
              <w:t>通知</w:t>
            </w:r>
            <w:r>
              <w:rPr>
                <w:rFonts w:hint="eastAsia"/>
                <w:color w:val="000000" w:themeColor="text1"/>
                <w14:textFill>
                  <w14:solidFill>
                    <w14:schemeClr w14:val="tx1"/>
                  </w14:solidFill>
                </w14:textFill>
              </w:rPr>
              <w:t>、实验设备预约通知、评教通知、实验教学通知、实验</w:t>
            </w:r>
            <w:r>
              <w:rPr>
                <w:color w:val="000000" w:themeColor="text1"/>
                <w14:textFill>
                  <w14:solidFill>
                    <w14:schemeClr w14:val="tx1"/>
                  </w14:solidFill>
                </w14:textFill>
              </w:rPr>
              <w:t>项目通知等。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1.1.5</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系统入口</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提供系统（如实验室管理系统、实验教学系统）快捷入口，登录系统后可进行相应的实验预约、实验课程查看等业务操作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1.1.6</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常用链接</w:t>
            </w:r>
          </w:p>
        </w:tc>
        <w:tc>
          <w:tcPr>
            <w:tcW w:w="6379"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可以直接链接到常用的其他系统或网站</w:t>
            </w:r>
            <w:r>
              <w:rPr>
                <w:rFonts w:hint="eastAsia"/>
                <w:color w:val="000000" w:themeColor="text1"/>
                <w14:textFill>
                  <w14:solidFill>
                    <w14:schemeClr w14:val="tx1"/>
                  </w14:solidFill>
                </w14:textFill>
              </w:rPr>
              <w:t>，如哈尔滨工业大学官网、深圳大学城图书馆、教务处等。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1.1.7</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搜索栏</w:t>
            </w:r>
          </w:p>
        </w:tc>
        <w:tc>
          <w:tcPr>
            <w:tcW w:w="6379"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提供对网站内容、关键字的</w:t>
            </w:r>
            <w:r>
              <w:rPr>
                <w:rFonts w:hint="eastAsia"/>
                <w:color w:val="000000" w:themeColor="text1"/>
                <w14:textFill>
                  <w14:solidFill>
                    <w14:schemeClr w14:val="tx1"/>
                  </w14:solidFill>
                </w14:textFill>
              </w:rPr>
              <w:t>全文</w:t>
            </w:r>
            <w:r>
              <w:rPr>
                <w:color w:val="000000" w:themeColor="text1"/>
                <w14:textFill>
                  <w14:solidFill>
                    <w14:schemeClr w14:val="tx1"/>
                  </w14:solidFill>
                </w14:textFill>
              </w:rPr>
              <w:t>搜索功能，方便进行相关信息查找。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1.1.8</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调查问卷</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有需求时可为师生提供调查问卷的快速入口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1.1.9</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人才招聘</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有需求时可提供招聘信息的链接入口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中心概况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中心简介</w:t>
            </w:r>
          </w:p>
        </w:tc>
        <w:tc>
          <w:tcPr>
            <w:tcW w:w="6379"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实验中心的特色、工作及其基本情况</w:t>
            </w:r>
            <w:r>
              <w:rPr>
                <w:color w:val="000000" w:themeColor="text1"/>
                <w14:textFill>
                  <w14:solidFill>
                    <w14:schemeClr w14:val="tx1"/>
                  </w14:solidFill>
                </w14:textFill>
              </w:rPr>
              <w:t>进行简要介绍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教学理念</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对实验中心的教学理念进行简要介绍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发展规划</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介绍实验中心的发展规划（如发展定位、建设目标等）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1.2.4</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中心机构</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要求与实验室管理系统数据联动，对实验中心下设的通识与基础实验室、技术基础实验室、专业实验室等进行简要介绍，展示各实验室的师资队伍、实验设备、实验项目、实验课程等信息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1.2.5</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师资队伍</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对实验中心的组织机构（如专家委员会、建设委员会、负责人、师资队伍）及</w:t>
            </w:r>
            <w:r>
              <w:rPr>
                <w:color w:val="000000" w:themeColor="text1"/>
                <w14:textFill>
                  <w14:solidFill>
                    <w14:schemeClr w14:val="tx1"/>
                  </w14:solidFill>
                </w14:textFill>
              </w:rPr>
              <w:t>相关人员</w:t>
            </w:r>
            <w:r>
              <w:rPr>
                <w:rFonts w:hint="eastAsia"/>
                <w:color w:val="000000" w:themeColor="text1"/>
                <w14:textFill>
                  <w14:solidFill>
                    <w14:schemeClr w14:val="tx1"/>
                  </w14:solidFill>
                </w14:textFill>
              </w:rPr>
              <w:t>基本信息进行简要介绍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1.2.6</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联系我们</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展示实验中心的联系方式、联系人等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实验教学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教学课程</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对实验中心开设的全部课程进行简要介绍，展示课程的基本内容、授课教师信息、课程资源等，支持常用格式音视频文件的播放，要求与实验教学课程系统数据联动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教学日历</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要求与实验教学系统排课数据联动，可按课程名称、教师姓名进行检索，显示相应教学计划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教学课表</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要求与实验教学系统排课数据联动，可按日期、课程名称进行检索，显示相应课表。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1.3.4</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实验研究</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展示实验研究成果，包括实验内容介绍，课程资源等。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精品课程</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展示全部精品课程的基本信息（课程介绍、授课教师信息、课程资源等），可按研究课程名称、教师姓名进行检索，要求与实验教学课程系统数据联动，支持常用格式音视频文件的播放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实验设备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设备介绍</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要求与实验室管理系统数据联动，展示各实验室的设备基本信息（名称、型号、购入时间、所在位置、预约状态、操作方法及注意事项、收计费方式等）；与实验教学系统设备预约数据联动，实现线上预约申请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实验项目</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要求与实验教学系统实验项目数据联动，展示各设备相关的实验项目基本信息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通知公告</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公布最新创新竞赛通知，包括竞赛、大创项目申报、获奖信息</w:t>
            </w:r>
            <w:r>
              <w:rPr>
                <w:color w:val="000000" w:themeColor="text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竞赛专题</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展示一些主要竞赛专题的内容，包括竞赛情况的介绍、往届相关信息、竞赛培训和相关活动情况等，可按大赛名称、参赛项目进行检索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创新项目</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与实验教学系统大学生创新活动项目管理数据联动，展示各项目的基本信息（项目简介、项目团队、项目阶段等）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1.5.4</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成果展示</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成果展示可支持常用格式音视频文件的播放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示范辐射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对外培训</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发布对外培训相关信息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国际国内合作</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发布国际国内合作相关信息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在线咨询</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为用户提供咨询交互的平台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规章制度</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展示实验中心的管理规章制度，可提供下载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下载中心</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提供各种资源（设备使用操作说明书、创新实践项目申请表等）以供下载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后台主要功能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权限管理</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权限管理基于RBAC权限管理机制进行设计，结合网站管理的事务流程、设计不同类型的角色，并匹配给不同角色相应的操作权限，不同的用户</w:t>
            </w:r>
            <w:r>
              <w:rPr>
                <w:rFonts w:hint="eastAsia"/>
                <w:color w:val="000000" w:themeColor="text1"/>
                <w:lang w:eastAsia="zh-CN"/>
                <w14:textFill>
                  <w14:solidFill>
                    <w14:schemeClr w14:val="tx1"/>
                  </w14:solidFill>
                </w14:textFill>
              </w:rPr>
              <w:t>账号</w:t>
            </w:r>
            <w:r>
              <w:rPr>
                <w:rFonts w:hint="eastAsia"/>
                <w:color w:val="000000" w:themeColor="text1"/>
                <w14:textFill>
                  <w14:solidFill>
                    <w14:schemeClr w14:val="tx1"/>
                  </w14:solidFill>
                </w14:textFill>
              </w:rPr>
              <w:t>再匹配相应的角色，以达到不同的</w:t>
            </w:r>
            <w:r>
              <w:rPr>
                <w:rFonts w:hint="eastAsia"/>
                <w:color w:val="000000" w:themeColor="text1"/>
                <w:lang w:eastAsia="zh-CN"/>
                <w14:textFill>
                  <w14:solidFill>
                    <w14:schemeClr w14:val="tx1"/>
                  </w14:solidFill>
                </w14:textFill>
              </w:rPr>
              <w:t>账号</w:t>
            </w:r>
            <w:r>
              <w:rPr>
                <w:rFonts w:hint="eastAsia"/>
                <w:color w:val="000000" w:themeColor="text1"/>
                <w14:textFill>
                  <w14:solidFill>
                    <w14:schemeClr w14:val="tx1"/>
                  </w14:solidFill>
                </w14:textFill>
              </w:rPr>
              <w:t>登录系统后系统自动匹配相应的管理或操作权限的效果。</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权限管理包括角色创建、匹配角色操作权限；创建</w:t>
            </w:r>
            <w:r>
              <w:rPr>
                <w:rFonts w:hint="eastAsia"/>
                <w:color w:val="000000" w:themeColor="text1"/>
                <w:lang w:eastAsia="zh-CN"/>
                <w14:textFill>
                  <w14:solidFill>
                    <w14:schemeClr w14:val="tx1"/>
                  </w14:solidFill>
                </w14:textFill>
              </w:rPr>
              <w:t>账号</w:t>
            </w:r>
            <w:r>
              <w:rPr>
                <w:rFonts w:hint="eastAsia"/>
                <w:color w:val="000000" w:themeColor="text1"/>
                <w14:textFill>
                  <w14:solidFill>
                    <w14:schemeClr w14:val="tx1"/>
                  </w14:solidFill>
                </w14:textFill>
              </w:rPr>
              <w:t>、匹配</w:t>
            </w:r>
            <w:r>
              <w:rPr>
                <w:rFonts w:hint="eastAsia"/>
                <w:color w:val="000000" w:themeColor="text1"/>
                <w:lang w:eastAsia="zh-CN"/>
                <w14:textFill>
                  <w14:solidFill>
                    <w14:schemeClr w14:val="tx1"/>
                  </w14:solidFill>
                </w14:textFill>
              </w:rPr>
              <w:t>账号</w:t>
            </w:r>
            <w:r>
              <w:rPr>
                <w:rFonts w:hint="eastAsia"/>
                <w:color w:val="000000" w:themeColor="text1"/>
                <w14:textFill>
                  <w14:solidFill>
                    <w14:schemeClr w14:val="tx1"/>
                  </w14:solidFill>
                </w14:textFill>
              </w:rPr>
              <w:t>权限；</w:t>
            </w:r>
            <w:r>
              <w:rPr>
                <w:rFonts w:hint="eastAsia"/>
                <w:color w:val="000000" w:themeColor="text1"/>
                <w:lang w:eastAsia="zh-CN"/>
                <w14:textFill>
                  <w14:solidFill>
                    <w14:schemeClr w14:val="tx1"/>
                  </w14:solidFill>
                </w14:textFill>
              </w:rPr>
              <w:t>账号</w:t>
            </w:r>
            <w:r>
              <w:rPr>
                <w:rFonts w:hint="eastAsia"/>
                <w:color w:val="000000" w:themeColor="text1"/>
                <w14:textFill>
                  <w14:solidFill>
                    <w14:schemeClr w14:val="tx1"/>
                  </w14:solidFill>
                </w14:textFill>
              </w:rPr>
              <w:t>冻结、</w:t>
            </w:r>
            <w:r>
              <w:rPr>
                <w:rFonts w:hint="eastAsia"/>
                <w:color w:val="000000" w:themeColor="text1"/>
                <w:lang w:eastAsia="zh-CN"/>
                <w14:textFill>
                  <w14:solidFill>
                    <w14:schemeClr w14:val="tx1"/>
                  </w14:solidFill>
                </w14:textFill>
              </w:rPr>
              <w:t>账号</w:t>
            </w:r>
            <w:r>
              <w:rPr>
                <w:rFonts w:hint="eastAsia"/>
                <w:color w:val="000000" w:themeColor="text1"/>
                <w14:textFill>
                  <w14:solidFill>
                    <w14:schemeClr w14:val="tx1"/>
                  </w14:solidFill>
                </w14:textFill>
              </w:rPr>
              <w:t>激活、</w:t>
            </w:r>
            <w:r>
              <w:rPr>
                <w:rFonts w:hint="eastAsia"/>
                <w:color w:val="000000" w:themeColor="text1"/>
                <w:lang w:eastAsia="zh-CN"/>
                <w14:textFill>
                  <w14:solidFill>
                    <w14:schemeClr w14:val="tx1"/>
                  </w14:solidFill>
                </w14:textFill>
              </w:rPr>
              <w:t>账号</w:t>
            </w:r>
            <w:r>
              <w:rPr>
                <w:rFonts w:hint="eastAsia"/>
                <w:color w:val="000000" w:themeColor="text1"/>
                <w14:textFill>
                  <w14:solidFill>
                    <w14:schemeClr w14:val="tx1"/>
                  </w14:solidFill>
                </w14:textFill>
              </w:rPr>
              <w:t>密码重置等。</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#2页面显示权限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通过识别IP网段，区分是否是校内IP访问，实现信息展示的“内外有别”。</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3页面编辑权限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可为角色及用户分配网站首页、新闻及通知概览页面、新闻及通知详细页面的编辑权限，此权限包括对页面头部、尾部图片合入文字的编辑，包括对页面主体内容中栏目的文字及图片的编辑。</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4栏目管理权限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可将不同栏目的管理权限分配给不同的用户和角色，拥有该权限的用户可对相应的栏目的内容及显示形式进行编辑和发布。</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5文章发布权限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可为某些角色及用户分配某些栏目的文章的编辑权限与发布权限。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通知、信息更新和发布</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户凭用户名和密码登录后台系统后，选择要更新信息的模块和子模块，编辑信息或从实验室管理系统中提取数据并提交；用户可根据需要将所发布的信息设置为置顶；提交信息后，用户可预览相关信息，并可返回对已提交的信息进行修改，确定修改无误后，点击“发布”，相关信息更新才会在前台呈现。发布的信息在前台显示按日期的顺序逆序排序，即总是显示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首页管理</w:t>
            </w:r>
          </w:p>
        </w:tc>
        <w:tc>
          <w:tcPr>
            <w:tcW w:w="6379" w:type="dxa"/>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首页内容管理：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在后台需要模拟首页视图结构，并对首页的访问热点进行标识和统计，让首页访问热点一目了然。可以按不同的时间周期查看。</w:t>
            </w:r>
          </w:p>
          <w:p>
            <w:pPr>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首页访问热点：</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首页内容要求可以独立编辑更新，对于动态生成的内容也需要可以进行单独编辑。编辑后有预览和发布功能。</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 轮播图管理：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首页轮播图可管理，可以上传图片、规定图片张数、顺序、更换时间。</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 首页内容编辑：</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对于首页的页面头部，页面中部内容以及页面尾部提供编辑功能。网站管理者能通过网站管理后台对以上三部分进行编辑。可改变其显示内容，并能够预览与发布。</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 首页主体部分栏目编辑：</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于首页主体部分的栏目提供编辑功能。网站管理者可以通过网站管理后台对主页的所有栏目进行编辑，调整各个栏目在主页中的显示顺序，并可更改各个栏目的名称、显示方式（如某一新闻或通知栏目为文字列表形式还是图片列表形式等）、栏目图片，并能够预览与发布。</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 首页外部链接的编辑：</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于首页的某些外部链接（如常用链接）提供编辑修改功能，网站管理者可以通过网站管理后台对外部链接进行修改和编辑，可更换外部链接在主页上的名称及图片，也可更换主页上外部链接名称对应的访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栏目管理</w:t>
            </w:r>
          </w:p>
        </w:tc>
        <w:tc>
          <w:tcPr>
            <w:tcW w:w="6379" w:type="dxa"/>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 栏目设置：</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门户网站栏目管理的设定通过栏目管理可以很清晰的显示出来，栏目的层次无限定，可以无限制的设计各栏目下的子栏目，为网站的规划提供了一个无限延伸的平台。</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 栏目管理：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对栏目管理采用树状结构管理。栏目的数量、栏目下的子栏目的数量即栏目的广度没有限制。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资源管理</w:t>
            </w:r>
          </w:p>
        </w:tc>
        <w:tc>
          <w:tcPr>
            <w:tcW w:w="6379" w:type="dxa"/>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 1</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新上传资源查看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发布</w:t>
            </w:r>
          </w:p>
          <w:p>
            <w:pPr>
              <w:jc w:val="left"/>
              <w:rPr>
                <w:color w:val="000000" w:themeColor="text1"/>
                <w14:textFill>
                  <w14:solidFill>
                    <w14:schemeClr w14:val="tx1"/>
                  </w14:solidFill>
                </w14:textFill>
              </w:rPr>
            </w:pPr>
            <w:r>
              <w:rPr>
                <w:color w:val="000000" w:themeColor="text1"/>
                <w14:textFill>
                  <w14:solidFill>
                    <w14:schemeClr w14:val="tx1"/>
                  </w14:solidFill>
                </w14:textFill>
              </w:rPr>
              <w:t># 2</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创建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编辑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预览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审核</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取消发布资源内容</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支持图片和文字录入，可支持word、excel、PDF、JPG、PNG等常见的文件格式上传</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支持常用音视频格式文件上传</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支持列表排序设置</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统计浏览次数及走势</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资源搜索</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资源查看</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停止发布资源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数据统计分析</w:t>
            </w:r>
          </w:p>
        </w:tc>
        <w:tc>
          <w:tcPr>
            <w:tcW w:w="6379" w:type="dxa"/>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用户兴趣统计：</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采用雷达图、饼形图、频数分布直方图、折线统计图等方式显示</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向单位用户展示网站用户浏览自己发布资源的浏览情况。</w:t>
            </w:r>
          </w:p>
          <w:p>
            <w:pPr>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2流量统计及访问统计：</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按时间段统计网站流量（IP/PV）</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访问统计（图表）</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按时间段统计各个页面的用户访问量</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流量来源排行</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统计结果均可采用饼形图、频数分布直方图、折线统计图等方式显示</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分析结果可导出报表供打印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系统管理操作记录与网站系统参数设置</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提供对系统操作的记录</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对网站系统各类基础参数设置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网页防篡改</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网站要有网页防篡改的功能，防备黑客攻击。在网页被篡改后系统具备即时自动恢复网页功能。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地图展示</w:t>
            </w:r>
          </w:p>
        </w:tc>
        <w:tc>
          <w:tcPr>
            <w:tcW w:w="6379" w:type="dxa"/>
          </w:tcPr>
          <w:p>
            <w:pPr>
              <w:autoSpaceDE w:val="0"/>
              <w:autoSpaceDN w:val="0"/>
              <w:adjustRightInd w:val="0"/>
              <w:snapToGrid w:val="0"/>
              <w:spacing w:after="16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可视化展示专业实验室所在位置；各实验室（区域）明细指标的可视化展示。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专业展示</w:t>
            </w:r>
          </w:p>
        </w:tc>
        <w:tc>
          <w:tcPr>
            <w:tcW w:w="6379" w:type="dxa"/>
          </w:tcPr>
          <w:p>
            <w:pPr>
              <w:autoSpaceDE w:val="0"/>
              <w:autoSpaceDN w:val="0"/>
              <w:adjustRightInd w:val="0"/>
              <w:snapToGrid w:val="0"/>
              <w:spacing w:after="16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以知识、技能结合现场设备与部署位置的方式展示知识点，可以连接实验室管理系统获取资源并展示。展示各项相关的微课、视频、图片等知识与技能在线学习内容，并且可以生成二维码，支持移动学习。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资源集成</w:t>
            </w:r>
          </w:p>
        </w:tc>
        <w:tc>
          <w:tcPr>
            <w:tcW w:w="6379" w:type="dxa"/>
          </w:tcPr>
          <w:p>
            <w:pPr>
              <w:autoSpaceDE w:val="0"/>
              <w:autoSpaceDN w:val="0"/>
              <w:adjustRightInd w:val="0"/>
              <w:snapToGrid w:val="0"/>
              <w:spacing w:after="16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标识点的添加和编辑，实现对设备资源及物联硬件的可视化定点展示，实时查看监控画面、门禁记录等相关数据，确保系统的实时性和可扩展性，并可以生成二维码实现线上线下一体化服务。可视化系统可对接多种设备，在电子班牌、拼接屏等设备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8506" w:type="dxa"/>
            <w:gridSpan w:val="2"/>
            <w:vAlign w:val="center"/>
          </w:tcPr>
          <w:p>
            <w:pPr>
              <w:autoSpaceDE w:val="0"/>
              <w:autoSpaceDN w:val="0"/>
              <w:adjustRightInd w:val="0"/>
              <w:snapToGrid w:val="0"/>
              <w:spacing w:after="16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硬件平台</w:t>
            </w:r>
          </w:p>
        </w:tc>
        <w:tc>
          <w:tcPr>
            <w:tcW w:w="6379" w:type="dxa"/>
            <w:vAlign w:val="center"/>
          </w:tcPr>
          <w:p>
            <w:pPr>
              <w:numPr>
                <w:ilvl w:val="255"/>
                <w:numId w:val="0"/>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系统应采用目前主流的服务器端操作系统（如Linux/windows）。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数据库平台</w:t>
            </w:r>
          </w:p>
        </w:tc>
        <w:tc>
          <w:tcPr>
            <w:tcW w:w="6379" w:type="dxa"/>
            <w:vAlign w:val="center"/>
          </w:tcPr>
          <w:p>
            <w:pPr>
              <w:numPr>
                <w:ilvl w:val="255"/>
                <w:numId w:val="0"/>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系统后台应采用大型关系型数据库。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开发工具平台</w:t>
            </w:r>
          </w:p>
        </w:tc>
        <w:tc>
          <w:tcPr>
            <w:tcW w:w="6379" w:type="dxa"/>
            <w:vAlign w:val="center"/>
          </w:tcPr>
          <w:p>
            <w:pPr>
              <w:numPr>
                <w:ilvl w:val="255"/>
                <w:numId w:val="0"/>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采用开放式平台，力求简单实用；如使用第三方工具，必须免费提供使用权限。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4.4</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应用基础平台</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所开发系统必须能够与目前学校的应用基础平台（</w:t>
            </w:r>
            <w:r>
              <w:rPr>
                <w:color w:val="000000" w:themeColor="text1"/>
                <w14:textFill>
                  <w14:solidFill>
                    <w14:schemeClr w14:val="tx1"/>
                  </w14:solidFill>
                </w14:textFill>
              </w:rPr>
              <w:t>用户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课程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选课组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校区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建筑物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一卡通等信息</w:t>
            </w:r>
            <w:r>
              <w:rPr>
                <w:rFonts w:hint="eastAsia"/>
                <w:color w:val="000000" w:themeColor="text1"/>
                <w14:textFill>
                  <w14:solidFill>
                    <w14:schemeClr w14:val="tx1"/>
                  </w14:solidFill>
                </w14:textFill>
              </w:rPr>
              <w:t>）的数据进行整合，</w:t>
            </w:r>
            <w:r>
              <w:rPr>
                <w:color w:val="000000" w:themeColor="text1"/>
                <w14:textFill>
                  <w14:solidFill>
                    <w14:schemeClr w14:val="tx1"/>
                  </w14:solidFill>
                </w14:textFill>
              </w:rPr>
              <w:t>提供数据清洗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数据导入或者同其他系统进行对接的功能</w:t>
            </w:r>
            <w:r>
              <w:rPr>
                <w:rFonts w:hint="eastAsia"/>
                <w:color w:val="000000" w:themeColor="text1"/>
                <w14:textFill>
                  <w14:solidFill>
                    <w14:schemeClr w14:val="tx1"/>
                  </w14:solidFill>
                </w14:textFill>
              </w:rPr>
              <w:t>。</w:t>
            </w:r>
          </w:p>
          <w:p>
            <w:pPr>
              <w:jc w:val="left"/>
              <w:rPr>
                <w:color w:val="000000" w:themeColor="text1"/>
                <w14:textFill>
                  <w14:solidFill>
                    <w14:schemeClr w14:val="tx1"/>
                  </w14:solidFill>
                </w14:textFill>
              </w:rPr>
            </w:pPr>
            <w:r>
              <w:rPr>
                <w:color w:val="000000" w:themeColor="text1"/>
                <w14:textFill>
                  <w14:solidFill>
                    <w14:schemeClr w14:val="tx1"/>
                  </w14:solidFill>
                </w14:textFill>
              </w:rPr>
              <w:t>MVC设计模式：用户界面，特别是图形用户界面，承担着向用户显示问题模型和与用户进行操作和I/O交互的作用。用户希望保持交互操作界面的相对稳定，但更希望根据需要改变和调整显示的内容和形式。整体设计应采用交互界面的结构组织模型：模型-视图-控制（MVC：Model-View-Controller）。</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开发语言：</w:t>
            </w:r>
            <w:r>
              <w:rPr>
                <w:color w:val="000000" w:themeColor="text1"/>
                <w14:textFill>
                  <w14:solidFill>
                    <w14:schemeClr w14:val="tx1"/>
                  </w14:solidFill>
                </w14:textFill>
              </w:rPr>
              <w:t>系统</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采用</w:t>
            </w:r>
            <w:r>
              <w:rPr>
                <w:rFonts w:hint="eastAsia"/>
                <w:color w:val="000000" w:themeColor="text1"/>
                <w14:textFill>
                  <w14:solidFill>
                    <w14:schemeClr w14:val="tx1"/>
                  </w14:solidFill>
                </w14:textFill>
              </w:rPr>
              <w:t>跨平台的开发语言，如JAVA等，并采用</w:t>
            </w:r>
            <w:r>
              <w:rPr>
                <w:color w:val="000000" w:themeColor="text1"/>
                <w14:textFill>
                  <w14:solidFill>
                    <w14:schemeClr w14:val="tx1"/>
                  </w14:solidFill>
                </w14:textFill>
              </w:rPr>
              <w:t>多层分布式应用模型、企业级应用系统开发平台、电子化应用开发模型、Web应用服务器上广泛采用的标准。</w:t>
            </w:r>
          </w:p>
          <w:p>
            <w:pPr>
              <w:jc w:val="left"/>
              <w:rPr>
                <w:color w:val="000000" w:themeColor="text1"/>
                <w14:textFill>
                  <w14:solidFill>
                    <w14:schemeClr w14:val="tx1"/>
                  </w14:solidFill>
                </w14:textFill>
              </w:rPr>
            </w:pPr>
            <w:r>
              <w:rPr>
                <w:color w:val="000000" w:themeColor="text1"/>
                <w14:textFill>
                  <w14:solidFill>
                    <w14:schemeClr w14:val="tx1"/>
                  </w14:solidFill>
                </w14:textFill>
              </w:rPr>
              <w:t>展示</w:t>
            </w:r>
            <w:r>
              <w:rPr>
                <w:rFonts w:hint="eastAsia"/>
                <w:color w:val="000000" w:themeColor="text1"/>
                <w14:textFill>
                  <w14:solidFill>
                    <w14:schemeClr w14:val="tx1"/>
                  </w14:solidFill>
                </w14:textFill>
              </w:rPr>
              <w:t>前端</w:t>
            </w:r>
            <w:r>
              <w:rPr>
                <w:color w:val="000000" w:themeColor="text1"/>
                <w14:textFill>
                  <w14:solidFill>
                    <w14:schemeClr w14:val="tx1"/>
                  </w14:solidFill>
                </w14:textFill>
              </w:rPr>
              <w:t>：系统展示采用JavaScript库，轻量级的js库(</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jQuery)，应兼容CSS3，还兼容各种浏览器（IE6.0+,FF1.5+,Safari2.0+,Opera9.0+）。</w:t>
            </w:r>
          </w:p>
          <w:p>
            <w:pPr>
              <w:jc w:val="left"/>
              <w:rPr>
                <w:color w:val="000000" w:themeColor="text1"/>
                <w14:textFill>
                  <w14:solidFill>
                    <w14:schemeClr w14:val="tx1"/>
                  </w14:solidFill>
                </w14:textFill>
              </w:rPr>
            </w:pPr>
            <w:r>
              <w:rPr>
                <w:color w:val="000000" w:themeColor="text1"/>
                <w14:textFill>
                  <w14:solidFill>
                    <w14:schemeClr w14:val="tx1"/>
                  </w14:solidFill>
                </w14:textFill>
              </w:rPr>
              <w:t>AJAX技术：系统设计采用创建交互式网页应用的网页开发技术。</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系统采用B/S架构，支持ipad及手机终端进行相应业务操作；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代码开放</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为我校定制开发部分的源代码、接口部分的源代码必须开放，以便校方掌握核心、并能与第三方对接，同时校方保证不作他用。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4.6</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兼容性</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确保系统与操作系统和浏览器的兼容性（如支持IOS、Android或Windows等主流移动系统终端自适应展现；支持主流浏览器，包括但不限于Firefox、Chrome、IE11等内核的浏览器），尽量不使用第三方插件，若必须使用插件，应确保其与浏览器的兼容性。支持智能手机以及Pad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4.7</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接口及二次开发</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具有完善的二次开发接口和API，支持与业务平台的集成和整合。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4.8</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界面样式</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需求定制设计，符合学校及实验中心的特点和特色要求；系统界面设计友好，便于使用。页面色彩搭配谐调，尽量避免刺激性较强的色彩分散浏览者注意；屏幕设计简洁美观，文本、图形等可视元素搭配协调得当，不易产生视觉疲劳；首页中的文字、图形等对象的大小合适，颜色对比适当，清晰易辨；在格式、风格、语言上具有内在一致性，避免造成不必要的分心或认知负担；每页呈现的信息量不超过大众的认知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4.9</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数据导入</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数据可由实验室管理系统导入，获取实验室管理系统中的相关数据并自动推送到网站相关页面。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数据库资源接收、整理、录入、校对、采编制作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数据库内容收集</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数据库的资源来源包括前期的初始导入和后期的多方共建形成，多方共建通过参与单位直接导入或者通过接口推送导入，前期初始部分则需要本项目承建单位通过与相关资源提供单位进行协调、接收、整理、录入和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数据库内容采编制作</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对收集到的图片进行采集和处理（剪辑和压缩等），使得上述资料适合网站数据库存储，最终将多媒体数据导入网站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506"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124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服务器需求</w:t>
            </w:r>
          </w:p>
        </w:tc>
        <w:tc>
          <w:tcPr>
            <w:tcW w:w="6379"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服务器由招标方提供，为</w:t>
            </w:r>
            <w:r>
              <w:rPr>
                <w:color w:val="000000" w:themeColor="text1"/>
                <w14:textFill>
                  <w14:solidFill>
                    <w14:schemeClr w14:val="tx1"/>
                  </w14:solidFill>
                </w14:textFill>
              </w:rPr>
              <w:t xml:space="preserve">Linux服务器， </w:t>
            </w:r>
            <w:r>
              <w:rPr>
                <w:rFonts w:hint="eastAsia"/>
                <w:color w:val="000000" w:themeColor="text1"/>
                <w14:textFill>
                  <w14:solidFill>
                    <w14:schemeClr w14:val="tx1"/>
                  </w14:solidFill>
                </w14:textFill>
              </w:rPr>
              <w:t>开发者务必保证所提供的源代码可以在招标方提供的服务器上稳定运行。</w:t>
            </w:r>
          </w:p>
        </w:tc>
      </w:tr>
    </w:tbl>
    <w:p>
      <w:pPr>
        <w:rPr>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w:t>
      </w:r>
      <w:r>
        <w:rPr>
          <w:b/>
          <w:color w:val="000000" w:themeColor="text1"/>
          <w:szCs w:val="21"/>
          <w14:textFill>
            <w14:solidFill>
              <w14:schemeClr w14:val="tx1"/>
            </w14:solidFill>
          </w14:textFill>
        </w:rPr>
        <w:t>商务需求</w:t>
      </w:r>
    </w:p>
    <w:p>
      <w:pPr>
        <w:ind w:firstLine="420" w:firstLineChars="200"/>
        <w:rPr>
          <w:color w:val="000000" w:themeColor="text1"/>
          <w:szCs w:val="21"/>
          <w14:textFill>
            <w14:solidFill>
              <w14:schemeClr w14:val="tx1"/>
            </w14:solidFill>
          </w14:textFill>
        </w:rPr>
      </w:pPr>
    </w:p>
    <w:tbl>
      <w:tblPr>
        <w:tblStyle w:val="2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2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8" w:type="dxa"/>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2127"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目录</w:t>
            </w:r>
          </w:p>
        </w:tc>
        <w:tc>
          <w:tcPr>
            <w:tcW w:w="6379"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服务期限</w:t>
            </w:r>
          </w:p>
        </w:tc>
        <w:tc>
          <w:tcPr>
            <w:tcW w:w="63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本项目要求完成时间为签订合同后60个日历日。提供免费安装、调试、培训和5年免费维护服务，终身免费技术支持。一旦发生问题，投标人须保证在接到通知24小时内解决。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7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服务地点</w:t>
            </w:r>
          </w:p>
        </w:tc>
        <w:tc>
          <w:tcPr>
            <w:tcW w:w="637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深圳市用户指定地点。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7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关于验收</w:t>
            </w:r>
          </w:p>
        </w:tc>
        <w:tc>
          <w:tcPr>
            <w:tcW w:w="63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当满足以下条件时，采购方才向中标人签发验收报告：</w:t>
            </w:r>
          </w:p>
          <w:p>
            <w:pPr>
              <w:tabs>
                <w:tab w:val="left" w:pos="1260"/>
              </w:tabs>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、中标人已按照合同规定提供了全部产品及完整的技术资料。</w:t>
            </w:r>
          </w:p>
          <w:p>
            <w:pPr>
              <w:tabs>
                <w:tab w:val="left" w:pos="1260"/>
              </w:tabs>
              <w:rPr>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、产品符合招标文件的技术要求，且设计满足采购方要求。</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c、中标人在验收前需对相关使用人员进行操作，维护等方面的培训。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付款方式</w:t>
            </w:r>
          </w:p>
        </w:tc>
        <w:tc>
          <w:tcPr>
            <w:tcW w:w="63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验收合格后按政府规定的程序付款。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127"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63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项目实施阶段投标方需指派固定的项目经理，如更换需提前半个月提出申请，采购方同意后方可更换。</w:t>
            </w:r>
          </w:p>
        </w:tc>
      </w:tr>
    </w:tbl>
    <w:p>
      <w:pPr>
        <w:ind w:firstLine="420" w:firstLineChars="200"/>
        <w:rPr>
          <w:color w:val="000000" w:themeColor="text1"/>
          <w:szCs w:val="21"/>
          <w14:textFill>
            <w14:solidFill>
              <w14:schemeClr w14:val="tx1"/>
            </w14:solidFill>
          </w14:textFill>
        </w:rPr>
      </w:pPr>
    </w:p>
    <w:p>
      <w:pPr>
        <w:jc w:val="center"/>
        <w:rPr>
          <w:rFonts w:eastAsia="黑体"/>
          <w:b/>
          <w:color w:val="000000" w:themeColor="text1"/>
          <w:sz w:val="44"/>
          <w14:textFill>
            <w14:solidFill>
              <w14:schemeClr w14:val="tx1"/>
            </w14:solidFill>
          </w14:textFill>
        </w:rPr>
      </w:pPr>
      <w:r>
        <w:rPr>
          <w:color w:val="000000" w:themeColor="text1"/>
          <w14:textFill>
            <w14:solidFill>
              <w14:schemeClr w14:val="tx1"/>
            </w14:solidFill>
          </w14:textFill>
        </w:rPr>
        <w:br w:type="page"/>
      </w:r>
      <w:r>
        <w:rPr>
          <w:rFonts w:eastAsia="黑体"/>
          <w:b/>
          <w:color w:val="000000" w:themeColor="text1"/>
          <w:sz w:val="44"/>
          <w14:textFill>
            <w14:solidFill>
              <w14:schemeClr w14:val="tx1"/>
            </w14:solidFill>
          </w14:textFill>
        </w:rPr>
        <w:t>第三部分</w:t>
      </w:r>
      <w:r>
        <w:rPr>
          <w:rFonts w:hint="eastAsia" w:eastAsia="黑体"/>
          <w:b/>
          <w:color w:val="000000" w:themeColor="text1"/>
          <w:sz w:val="44"/>
          <w14:textFill>
            <w14:solidFill>
              <w14:schemeClr w14:val="tx1"/>
            </w14:solidFill>
          </w14:textFill>
        </w:rPr>
        <w:t xml:space="preserve"> </w:t>
      </w:r>
      <w:r>
        <w:rPr>
          <w:rFonts w:eastAsia="黑体"/>
          <w:b/>
          <w:color w:val="000000" w:themeColor="text1"/>
          <w:sz w:val="44"/>
          <w14:textFill>
            <w14:solidFill>
              <w14:schemeClr w14:val="tx1"/>
            </w14:solidFill>
          </w14:textFill>
        </w:rPr>
        <w:t>格式及附件</w:t>
      </w:r>
    </w:p>
    <w:p>
      <w:pPr>
        <w:pStyle w:val="4"/>
        <w:jc w:val="center"/>
        <w:rPr>
          <w:rFonts w:ascii="Times New Roman" w:hAnsi="Times New Roman"/>
          <w:color w:val="000000" w:themeColor="text1"/>
          <w14:textFill>
            <w14:solidFill>
              <w14:schemeClr w14:val="tx1"/>
            </w14:solidFill>
          </w14:textFill>
        </w:rPr>
      </w:pPr>
      <w:bookmarkStart w:id="223" w:name="合同协议书"/>
      <w:r>
        <w:rPr>
          <w:rFonts w:ascii="Times New Roman" w:hAnsi="Times New Roman"/>
          <w:color w:val="000000" w:themeColor="text1"/>
          <w14:textFill>
            <w14:solidFill>
              <w14:schemeClr w14:val="tx1"/>
            </w14:solidFill>
          </w14:textFill>
        </w:rPr>
        <w:t>第一章</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合同条款及格式</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（供参考）</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合同格式如下，其中招投标文件及其附件作为合同的重要组成部分：</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采购人（全称）：（甲方）</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承包人（全称）：（乙方）</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本项目于</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日公开招标采购确定由乙方提供服务。</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依照《中华人民共和国合同法》、《深圳经济特区政府采购条例》及其他有关法律、法规、规章和合同格式范本，并结合深圳市有关规定及本项目的具体情况，遵循平等、自愿、公平和诚实信用的原则，双方就本项目协商一致，订立本协议。</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（一）项目概况</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项目名称：目地点：</w:t>
      </w:r>
    </w:p>
    <w:p>
      <w:pPr>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项目规模及特征：</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（二）项目范围</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服务范围：</w:t>
      </w:r>
    </w:p>
    <w:p>
      <w:pPr>
        <w:snapToGrid w:val="0"/>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服务方式：</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（三）合同期限</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合同期限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总日历天数</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天</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（四）质量标准</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质量标准：按照国家验收标准达到。</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（五）合同价款</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币种：</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合同总价（大写）：</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（小写）：</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合同价的构成方式：</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（六）组成合同的文件</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组成本合同的文件包括：</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1．本合同格式书</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2．中标通知书</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3．投标文件及其附件</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4．招标文件</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5．本合同条款</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6．标准、规范及有关技术文件</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7．项目量和设备材料清单</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8．双方有关项目的洽商、补充等方面协议或文件</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9．其他</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（七）本协议书中有关词语含义与《合同条款范本》中分别赋予它们的定义相同。</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（八）承包人须按照合同约定进行服务，并在服务期内承担项目质量责任。</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（九）采购人须按照合同约定的期限和方式支付合同价款及其他应当支付的款项。</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（十）合同生效</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合同订立时间：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合同订立地点：</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发包人：（公章）</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承包人：（公章）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住所：</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住所：</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法定代表人：</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委托代理人：</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委托代理人：</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电话：</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传真：</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传真：</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开户银行：</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账号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账号</w:t>
      </w:r>
      <w:r>
        <w:rPr>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邮政编码：</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邮政编码：</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p>
    <w:p>
      <w:pPr>
        <w:pStyle w:val="12"/>
        <w:adjustRightInd w:val="0"/>
        <w:snapToGrid w:val="0"/>
        <w:spacing w:before="156" w:after="156"/>
        <w:ind w:firstLine="420" w:firstLineChars="200"/>
        <w:rPr>
          <w:rFonts w:ascii="Times New Roman" w:hAnsi="Times New Roman"/>
          <w:color w:val="000000" w:themeColor="text1"/>
          <w:szCs w:val="21"/>
          <w14:textFill>
            <w14:solidFill>
              <w14:schemeClr w14:val="tx1"/>
            </w14:solidFill>
          </w14:textFill>
        </w:rPr>
      </w:pPr>
    </w:p>
    <w:p>
      <w:pPr>
        <w:spacing w:line="360" w:lineRule="auto"/>
        <w:ind w:left="359" w:leftChars="171"/>
        <w:rPr>
          <w:color w:val="000000" w:themeColor="text1"/>
          <w:szCs w:val="21"/>
          <w14:textFill>
            <w14:solidFill>
              <w14:schemeClr w14:val="tx1"/>
            </w14:solidFill>
          </w14:textFill>
        </w:rPr>
      </w:pPr>
    </w:p>
    <w:p>
      <w:pPr>
        <w:spacing w:line="360" w:lineRule="auto"/>
        <w:ind w:left="359" w:leftChars="171" w:firstLine="420" w:firstLineChars="200"/>
        <w:rPr>
          <w:bCs/>
          <w:color w:val="000000" w:themeColor="text1"/>
          <w:sz w:val="24"/>
          <w:szCs w:val="21"/>
          <w14:textFill>
            <w14:solidFill>
              <w14:schemeClr w14:val="tx1"/>
            </w14:solidFill>
          </w14:textFill>
        </w:rPr>
      </w:pPr>
      <w:r>
        <w:rPr>
          <w:color w:val="000000" w:themeColor="text1"/>
          <w:szCs w:val="21"/>
          <w14:textFill>
            <w14:solidFill>
              <w14:schemeClr w14:val="tx1"/>
            </w14:solidFill>
          </w14:textFill>
        </w:rPr>
        <w:t>注：本合同样本仅供参考，具体条款内容由</w:t>
      </w:r>
      <w:r>
        <w:rPr>
          <w:rFonts w:hint="eastAsia"/>
          <w:color w:val="000000" w:themeColor="text1"/>
          <w:szCs w:val="21"/>
          <w14:textFill>
            <w14:solidFill>
              <w14:schemeClr w14:val="tx1"/>
            </w14:solidFill>
          </w14:textFill>
        </w:rPr>
        <w:t>招标方</w:t>
      </w:r>
      <w:r>
        <w:rPr>
          <w:color w:val="000000" w:themeColor="text1"/>
          <w:szCs w:val="21"/>
          <w14:textFill>
            <w14:solidFill>
              <w14:schemeClr w14:val="tx1"/>
            </w14:solidFill>
          </w14:textFill>
        </w:rPr>
        <w:t>和中标单位协商确定。</w:t>
      </w:r>
    </w:p>
    <w:p>
      <w:pPr>
        <w:spacing w:line="360" w:lineRule="auto"/>
        <w:ind w:left="359" w:leftChars="171" w:firstLine="480" w:firstLineChars="200"/>
        <w:rPr>
          <w:bCs/>
          <w:color w:val="000000" w:themeColor="text1"/>
          <w:sz w:val="24"/>
          <w:szCs w:val="2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4"/>
        <w:jc w:val="center"/>
        <w:rPr>
          <w:rFonts w:ascii="Times New Roman" w:hAnsi="Times New Roman"/>
          <w:bCs w:val="0"/>
          <w:color w:val="000000" w:themeColor="text1"/>
          <w:sz w:val="28"/>
          <w14:textFill>
            <w14:solidFill>
              <w14:schemeClr w14:val="tx1"/>
            </w14:solidFill>
          </w14:textFill>
        </w:rPr>
      </w:pPr>
      <w:r>
        <w:rPr>
          <w:rFonts w:ascii="Times New Roman" w:hAnsi="Times New Roman"/>
          <w:color w:val="000000" w:themeColor="text1"/>
          <w14:textFill>
            <w14:solidFill>
              <w14:schemeClr w14:val="tx1"/>
            </w14:solidFill>
          </w14:textFill>
        </w:rPr>
        <w:t>第二章</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投标文件的格式、附件</w:t>
      </w:r>
    </w:p>
    <w:p>
      <w:pPr>
        <w:pStyle w:val="38"/>
        <w:rPr>
          <w:color w:val="000000" w:themeColor="text1"/>
          <w14:textFill>
            <w14:solidFill>
              <w14:schemeClr w14:val="tx1"/>
            </w14:solidFill>
          </w14:textFill>
        </w:rPr>
      </w:pPr>
    </w:p>
    <w:p>
      <w:pPr>
        <w:jc w:val="center"/>
        <w:rPr>
          <w:rFonts w:ascii="宋体" w:hAnsi="宋体"/>
          <w:snapToGrid w:val="0"/>
          <w:color w:val="000000" w:themeColor="text1"/>
          <w:kern w:val="0"/>
          <w:sz w:val="52"/>
          <w:szCs w:val="52"/>
          <w14:textFill>
            <w14:solidFill>
              <w14:schemeClr w14:val="tx1"/>
            </w14:solidFill>
          </w14:textFill>
        </w:rPr>
      </w:pPr>
      <w:r>
        <w:rPr>
          <w:rFonts w:ascii="宋体" w:hAnsi="宋体"/>
          <w:snapToGrid w:val="0"/>
          <w:color w:val="000000" w:themeColor="text1"/>
          <w:kern w:val="0"/>
          <w:sz w:val="52"/>
          <w:szCs w:val="52"/>
          <w14:textFill>
            <w14:solidFill>
              <w14:schemeClr w14:val="tx1"/>
            </w14:solidFill>
          </w14:textFill>
        </w:rPr>
        <w:t>HITSZ-EIC-IM01</w:t>
      </w:r>
    </w:p>
    <w:p>
      <w:pPr>
        <w:jc w:val="center"/>
        <w:rPr>
          <w:color w:val="000000" w:themeColor="text1"/>
          <w:kern w:val="0"/>
          <w:sz w:val="52"/>
          <w:szCs w:val="52"/>
          <w14:textFill>
            <w14:solidFill>
              <w14:schemeClr w14:val="tx1"/>
            </w14:solidFill>
          </w14:textFill>
        </w:rPr>
      </w:pPr>
      <w:r>
        <w:rPr>
          <w:rFonts w:hint="eastAsia"/>
          <w:color w:val="000000" w:themeColor="text1"/>
          <w:kern w:val="0"/>
          <w:sz w:val="52"/>
          <w:szCs w:val="52"/>
          <w14:textFill>
            <w14:solidFill>
              <w14:schemeClr w14:val="tx1"/>
            </w14:solidFill>
          </w14:textFill>
        </w:rPr>
        <w:t>哈尔滨工业大学（深圳）实验与创新实践教育中心网站建设</w:t>
      </w:r>
    </w:p>
    <w:p>
      <w:pPr>
        <w:jc w:val="center"/>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（唱标信封）</w:t>
      </w: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spacing w:line="480" w:lineRule="auto"/>
        <w:ind w:firstLine="1400" w:firstLineChars="50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项目编号：_____________________________</w:t>
      </w:r>
    </w:p>
    <w:p>
      <w:pPr>
        <w:spacing w:line="480" w:lineRule="auto"/>
        <w:ind w:firstLine="1400" w:firstLineChars="50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供应商（盖章）：___________________________</w:t>
      </w:r>
    </w:p>
    <w:p>
      <w:pPr>
        <w:spacing w:line="48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法定代表人或授权委托人签字：__________________</w:t>
      </w:r>
    </w:p>
    <w:p>
      <w:pPr>
        <w:spacing w:line="36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投标日期：____________年_____月______日</w:t>
      </w:r>
    </w:p>
    <w:p>
      <w:pPr>
        <w:pStyle w:val="3"/>
        <w:spacing w:before="120" w:after="120"/>
        <w:jc w:val="center"/>
        <w:rPr>
          <w:rFonts w:eastAsia="黑体"/>
          <w:b w:val="0"/>
          <w:color w:val="000000" w:themeColor="text1"/>
          <w:sz w:val="44"/>
          <w14:textFill>
            <w14:solidFill>
              <w14:schemeClr w14:val="tx1"/>
            </w14:solidFill>
          </w14:textFill>
        </w:rPr>
      </w:pPr>
      <w:r>
        <w:rPr>
          <w:b w:val="0"/>
          <w:bCs w:val="0"/>
          <w:color w:val="000000" w:themeColor="text1"/>
          <w:sz w:val="28"/>
          <w:szCs w:val="28"/>
          <w14:textFill>
            <w14:solidFill>
              <w14:schemeClr w14:val="tx1"/>
            </w14:solidFill>
          </w14:textFill>
        </w:rPr>
        <w:br w:type="page"/>
      </w:r>
      <w:r>
        <w:rPr>
          <w:color w:val="000000" w:themeColor="text1"/>
          <w14:textFill>
            <w14:solidFill>
              <w14:schemeClr w14:val="tx1"/>
            </w14:solidFill>
          </w14:textFill>
        </w:rPr>
        <w:t>一、开标一览表</w:t>
      </w:r>
    </w:p>
    <w:p>
      <w:pPr>
        <w:jc w:val="right"/>
        <w:rPr>
          <w:bCs/>
          <w:snapToGrid w:val="0"/>
          <w:color w:val="000000" w:themeColor="text1"/>
          <w:kern w:val="0"/>
          <w14:textFill>
            <w14:solidFill>
              <w14:schemeClr w14:val="tx1"/>
            </w14:solidFill>
          </w14:textFill>
        </w:rPr>
      </w:pPr>
      <w:r>
        <w:rPr>
          <w:bCs/>
          <w:snapToGrid w:val="0"/>
          <w:color w:val="000000" w:themeColor="text1"/>
          <w:kern w:val="0"/>
          <w14:textFill>
            <w14:solidFill>
              <w14:schemeClr w14:val="tx1"/>
            </w14:solidFill>
          </w14:textFill>
        </w:rPr>
        <w:t>单位：人民币元</w:t>
      </w:r>
    </w:p>
    <w:tbl>
      <w:tblPr>
        <w:tblStyle w:val="24"/>
        <w:tblW w:w="96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00"/>
        <w:gridCol w:w="1994"/>
        <w:gridCol w:w="2835"/>
        <w:gridCol w:w="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68" w:type="dxa"/>
            <w:tcBorders>
              <w:top w:val="double" w:color="auto" w:sz="4" w:space="0"/>
              <w:bottom w:val="single" w:color="auto" w:sz="4" w:space="0"/>
            </w:tcBorders>
            <w:vAlign w:val="center"/>
          </w:tcPr>
          <w:p>
            <w:pPr>
              <w:jc w:val="cente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项目编号</w:t>
            </w:r>
          </w:p>
        </w:tc>
        <w:tc>
          <w:tcPr>
            <w:tcW w:w="2700" w:type="dxa"/>
            <w:tcBorders>
              <w:top w:val="double" w:color="auto" w:sz="4" w:space="0"/>
              <w:bottom w:val="single" w:color="auto" w:sz="4" w:space="0"/>
            </w:tcBorders>
            <w:vAlign w:val="center"/>
          </w:tcPr>
          <w:p>
            <w:pPr>
              <w:jc w:val="cente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项目名称</w:t>
            </w:r>
          </w:p>
        </w:tc>
        <w:tc>
          <w:tcPr>
            <w:tcW w:w="1994" w:type="dxa"/>
            <w:tcBorders>
              <w:top w:val="double" w:color="auto" w:sz="4" w:space="0"/>
              <w:bottom w:val="single" w:color="auto" w:sz="4" w:space="0"/>
            </w:tcBorders>
            <w:vAlign w:val="center"/>
          </w:tcPr>
          <w:p>
            <w:pPr>
              <w:jc w:val="cente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投标总价</w:t>
            </w:r>
          </w:p>
        </w:tc>
        <w:tc>
          <w:tcPr>
            <w:tcW w:w="2835" w:type="dxa"/>
            <w:tcBorders>
              <w:top w:val="double" w:color="auto" w:sz="4" w:space="0"/>
              <w:bottom w:val="single" w:color="auto" w:sz="4" w:space="0"/>
            </w:tcBorders>
            <w:vAlign w:val="center"/>
          </w:tcPr>
          <w:p>
            <w:pPr>
              <w:jc w:val="cente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服务期限</w:t>
            </w:r>
          </w:p>
        </w:tc>
        <w:tc>
          <w:tcPr>
            <w:tcW w:w="751" w:type="dxa"/>
            <w:tcBorders>
              <w:top w:val="double" w:color="auto" w:sz="4" w:space="0"/>
              <w:bottom w:val="single" w:color="auto" w:sz="4" w:space="0"/>
            </w:tcBorders>
            <w:vAlign w:val="center"/>
          </w:tcPr>
          <w:p>
            <w:pPr>
              <w:jc w:val="cente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368" w:type="dxa"/>
            <w:tcBorders>
              <w:top w:val="single" w:color="auto" w:sz="4" w:space="0"/>
            </w:tcBorders>
            <w:vAlign w:val="center"/>
          </w:tcPr>
          <w:p>
            <w:pPr>
              <w:jc w:val="center"/>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HITSZ-EIC-IM01</w:t>
            </w:r>
          </w:p>
        </w:tc>
        <w:tc>
          <w:tcPr>
            <w:tcW w:w="2700" w:type="dxa"/>
            <w:tcBorders>
              <w:top w:val="single" w:color="auto" w:sz="4" w:space="0"/>
            </w:tcBorders>
            <w:vAlign w:val="center"/>
          </w:tcPr>
          <w:p>
            <w:pPr>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哈尔滨工业大学（深圳）</w:t>
            </w:r>
          </w:p>
          <w:p>
            <w:pPr>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实验与创新实践教育中心网站建设</w:t>
            </w:r>
          </w:p>
        </w:tc>
        <w:tc>
          <w:tcPr>
            <w:tcW w:w="1994" w:type="dxa"/>
            <w:tcBorders>
              <w:top w:val="single" w:color="auto" w:sz="4" w:space="0"/>
            </w:tcBorders>
            <w:vAlign w:val="center"/>
          </w:tcPr>
          <w:p>
            <w:pP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大写：</w:t>
            </w:r>
          </w:p>
          <w:p>
            <w:pP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小写：</w:t>
            </w:r>
          </w:p>
        </w:tc>
        <w:tc>
          <w:tcPr>
            <w:tcW w:w="2835" w:type="dxa"/>
            <w:tcBorders>
              <w:top w:val="single" w:color="auto" w:sz="4" w:space="0"/>
            </w:tcBorders>
            <w:vAlign w:val="center"/>
          </w:tcPr>
          <w:p>
            <w:pPr>
              <w:jc w:val="left"/>
              <w:rPr>
                <w:snapToGrid w:val="0"/>
                <w:color w:val="000000" w:themeColor="text1"/>
                <w:kern w:val="0"/>
                <w14:textFill>
                  <w14:solidFill>
                    <w14:schemeClr w14:val="tx1"/>
                  </w14:solidFill>
                </w14:textFill>
              </w:rPr>
            </w:pPr>
          </w:p>
        </w:tc>
        <w:tc>
          <w:tcPr>
            <w:tcW w:w="751" w:type="dxa"/>
            <w:tcBorders>
              <w:top w:val="single" w:color="auto" w:sz="4" w:space="0"/>
            </w:tcBorders>
            <w:vAlign w:val="center"/>
          </w:tcPr>
          <w:p>
            <w:pPr>
              <w:jc w:val="center"/>
              <w:rPr>
                <w:snapToGrid w:val="0"/>
                <w:color w:val="000000" w:themeColor="text1"/>
                <w:kern w:val="0"/>
                <w14:textFill>
                  <w14:solidFill>
                    <w14:schemeClr w14:val="tx1"/>
                  </w14:solidFill>
                </w14:textFill>
              </w:rPr>
            </w:pPr>
          </w:p>
        </w:tc>
      </w:tr>
    </w:tbl>
    <w:p>
      <w:pPr>
        <w:rPr>
          <w:snapToGrid w:val="0"/>
          <w:color w:val="000000" w:themeColor="text1"/>
          <w:kern w:val="0"/>
          <w14:textFill>
            <w14:solidFill>
              <w14:schemeClr w14:val="tx1"/>
            </w14:solidFill>
          </w14:textFill>
        </w:rPr>
      </w:pPr>
    </w:p>
    <w:p>
      <w:pP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注：1、价格应按“招标文件”中规定的货币单位填写。</w:t>
      </w:r>
    </w:p>
    <w:p>
      <w:pPr>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 xml:space="preserve">    2、“服务期限”指合同生效之日起，多少个日历天完成合同规定的全部要求。</w:t>
      </w:r>
    </w:p>
    <w:p>
      <w:pPr>
        <w:ind w:firstLine="420"/>
        <w:rPr>
          <w:color w:val="000000" w:themeColor="text1"/>
          <w14:textFill>
            <w14:solidFill>
              <w14:schemeClr w14:val="tx1"/>
            </w14:solidFill>
          </w14:textFill>
        </w:rPr>
      </w:pPr>
      <w:r>
        <w:rPr>
          <w:snapToGrid w:val="0"/>
          <w:color w:val="000000" w:themeColor="text1"/>
          <w:kern w:val="0"/>
          <w14:textFill>
            <w14:solidFill>
              <w14:schemeClr w14:val="tx1"/>
            </w14:solidFill>
          </w14:textFill>
        </w:rPr>
        <w:t>3、投标人如果需要对报价或其它内容加以说明，可在备注栏填写。</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w:t>
      </w:r>
      <w:r>
        <w:rPr>
          <w:color w:val="000000" w:themeColor="text1"/>
          <w:szCs w:val="21"/>
          <w14:textFill>
            <w14:solidFill>
              <w14:schemeClr w14:val="tx1"/>
            </w14:solidFill>
          </w14:textFill>
        </w:rPr>
        <w:t>开标一览表和投标文件（含正本和副本）应分开独立密封包装。</w:t>
      </w: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right="2100" w:rightChars="1000"/>
        <w:jc w:val="right"/>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法定代表人或被授权人签名：</w:t>
      </w:r>
    </w:p>
    <w:p>
      <w:pPr>
        <w:ind w:right="2100" w:rightChars="1000"/>
        <w:jc w:val="right"/>
        <w:rPr>
          <w:snapToGrid w:val="0"/>
          <w:color w:val="000000" w:themeColor="text1"/>
          <w:kern w:val="0"/>
          <w14:textFill>
            <w14:solidFill>
              <w14:schemeClr w14:val="tx1"/>
            </w14:solidFill>
          </w14:textFill>
        </w:rPr>
      </w:pPr>
    </w:p>
    <w:p>
      <w:pPr>
        <w:ind w:right="2100" w:rightChars="1000"/>
        <w:jc w:val="right"/>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投标单位公章：</w:t>
      </w:r>
    </w:p>
    <w:p>
      <w:pPr>
        <w:ind w:right="2100" w:rightChars="1000"/>
        <w:jc w:val="right"/>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br w:type="page"/>
      </w:r>
    </w:p>
    <w:p>
      <w:pPr>
        <w:ind w:right="1680" w:rightChars="800"/>
        <w:jc w:val="center"/>
        <w:outlineLvl w:val="2"/>
        <w:rPr>
          <w:color w:val="000000" w:themeColor="text1"/>
          <w14:textFill>
            <w14:solidFill>
              <w14:schemeClr w14:val="tx1"/>
            </w14:solidFill>
          </w14:textFill>
        </w:rPr>
      </w:pPr>
      <w:r>
        <w:rPr>
          <w:b/>
          <w:bCs/>
          <w:color w:val="000000" w:themeColor="text1"/>
          <w:sz w:val="32"/>
          <w:szCs w:val="32"/>
          <w14:textFill>
            <w14:solidFill>
              <w14:schemeClr w14:val="tx1"/>
            </w14:solidFill>
          </w14:textFill>
        </w:rPr>
        <w:t>二、法定代表人资格证明书</w:t>
      </w:r>
    </w:p>
    <w:p>
      <w:pPr>
        <w:spacing w:line="360" w:lineRule="auto"/>
        <w:rPr>
          <w:bCs/>
          <w:color w:val="000000" w:themeColor="text1"/>
          <w:sz w:val="24"/>
          <w14:textFill>
            <w14:solidFill>
              <w14:schemeClr w14:val="tx1"/>
            </w14:solidFill>
          </w14:textFill>
        </w:rPr>
      </w:pP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单位名称：</w:t>
      </w: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地址：</w:t>
      </w: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姓名：性别：年龄：职务：</w:t>
      </w:r>
    </w:p>
    <w:p>
      <w:pPr>
        <w:snapToGrid w:val="0"/>
        <w:ind w:firstLine="1080" w:firstLineChars="450"/>
        <w:rPr>
          <w:bCs/>
          <w:color w:val="000000" w:themeColor="text1"/>
          <w:sz w:val="24"/>
          <w:u w:val="single"/>
          <w14:textFill>
            <w14:solidFill>
              <w14:schemeClr w14:val="tx1"/>
            </w14:solidFill>
          </w14:textFill>
        </w:rPr>
      </w:pPr>
    </w:p>
    <w:p>
      <w:pPr>
        <w:snapToGrid w:val="0"/>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系的法定代表人。为维护的项目，签署上述项目的投标文件、进行合同投标、签署合同和处理与之有关的一切事务。</w:t>
      </w: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特此证明</w:t>
      </w:r>
    </w:p>
    <w:p>
      <w:pPr>
        <w:snapToGrid w:val="0"/>
        <w:rPr>
          <w:color w:val="000000" w:themeColor="text1"/>
          <w:sz w:val="24"/>
          <w14:textFill>
            <w14:solidFill>
              <w14:schemeClr w14:val="tx1"/>
            </w14:solidFill>
          </w14:textFill>
        </w:rPr>
      </w:pPr>
    </w:p>
    <w:p>
      <w:pPr>
        <w:snapToGrid w:val="0"/>
        <w:ind w:right="1273" w:rightChars="606" w:firstLine="5040" w:firstLineChars="21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供应商（盖章）：</w:t>
      </w:r>
    </w:p>
    <w:p>
      <w:pPr>
        <w:snapToGrid w:val="0"/>
        <w:ind w:right="-1" w:firstLine="4920" w:firstLineChars="2050"/>
        <w:jc w:val="righ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日期：年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w:t>
      </w:r>
    </w:p>
    <w:p>
      <w:pPr>
        <w:snapToGrid w:val="0"/>
        <w:ind w:firstLine="4080" w:firstLineChars="1700"/>
        <w:rPr>
          <w:bCs/>
          <w:color w:val="000000" w:themeColor="text1"/>
          <w:sz w:val="24"/>
          <w14:textFill>
            <w14:solidFill>
              <w14:schemeClr w14:val="tx1"/>
            </w14:solidFill>
          </w14:textFill>
        </w:rPr>
      </w:pPr>
    </w:p>
    <w:p>
      <w:pPr>
        <w:snapToGrid w:val="0"/>
        <w:ind w:left="735" w:hanging="735" w:hangingChars="35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说明：1. 本证明书要求投标人提供</w:t>
      </w:r>
      <w:r>
        <w:rPr>
          <w:b/>
          <w:bCs/>
          <w:color w:val="000000" w:themeColor="text1"/>
          <w:szCs w:val="21"/>
          <w14:textFill>
            <w14:solidFill>
              <w14:schemeClr w14:val="tx1"/>
            </w14:solidFill>
          </w14:textFill>
        </w:rPr>
        <w:t>加盖公章</w:t>
      </w:r>
      <w:r>
        <w:rPr>
          <w:bCs/>
          <w:color w:val="000000" w:themeColor="text1"/>
          <w:szCs w:val="21"/>
          <w14:textFill>
            <w14:solidFill>
              <w14:schemeClr w14:val="tx1"/>
            </w14:solidFill>
          </w14:textFill>
        </w:rPr>
        <w:t>后的原件方为有效。</w:t>
      </w:r>
    </w:p>
    <w:p>
      <w:pPr>
        <w:snapToGrid w:val="0"/>
        <w:ind w:firstLine="630" w:firstLineChars="3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 须提供法定代表人的身份证复印件（附后）。</w:t>
      </w:r>
    </w:p>
    <w:p>
      <w:pPr>
        <w:spacing w:line="360" w:lineRule="auto"/>
        <w:rPr>
          <w:bCs/>
          <w:color w:val="000000" w:themeColor="text1"/>
          <w:sz w:val="24"/>
          <w14:textFill>
            <w14:solidFill>
              <w14:schemeClr w14:val="tx1"/>
            </w14:solidFill>
          </w14:textFill>
        </w:rPr>
      </w:pPr>
    </w:p>
    <w:p>
      <w:pPr>
        <w:pStyle w:val="3"/>
        <w:spacing w:before="120" w:after="120"/>
        <w:jc w:val="center"/>
        <w:rPr>
          <w:b w:val="0"/>
          <w:color w:val="000000" w:themeColor="text1"/>
          <w:sz w:val="28"/>
          <w14:textFill>
            <w14:solidFill>
              <w14:schemeClr w14:val="tx1"/>
            </w14:solidFill>
          </w14:textFill>
        </w:rPr>
      </w:pPr>
      <w:r>
        <w:rPr>
          <w:color w:val="000000" w:themeColor="text1"/>
          <w14:textFill>
            <w14:solidFill>
              <w14:schemeClr w14:val="tx1"/>
            </w14:solidFill>
          </w14:textFill>
        </w:rPr>
        <w:t>三、法定代表人授权书</w:t>
      </w:r>
    </w:p>
    <w:p>
      <w:pPr>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rFonts w:hint="eastAsia"/>
          <w:bCs/>
          <w:color w:val="000000" w:themeColor="text1"/>
          <w:sz w:val="24"/>
          <w14:textFill>
            <w14:solidFill>
              <w14:schemeClr w14:val="tx1"/>
            </w14:solidFill>
          </w14:textFill>
        </w:rPr>
        <w:t>哈尔滨工业大学（深圳）</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（投标人全称）</w:t>
      </w:r>
      <w:r>
        <w:rPr>
          <w:bCs/>
          <w:color w:val="000000" w:themeColor="text1"/>
          <w:sz w:val="24"/>
          <w14:textFill>
            <w14:solidFill>
              <w14:schemeClr w14:val="tx1"/>
            </w14:solidFill>
          </w14:textFill>
        </w:rPr>
        <w:t>法定代表人</w:t>
      </w:r>
      <w:r>
        <w:rPr>
          <w:bCs/>
          <w:color w:val="000000" w:themeColor="text1"/>
          <w:sz w:val="24"/>
          <w:u w:val="single"/>
          <w14:textFill>
            <w14:solidFill>
              <w14:schemeClr w14:val="tx1"/>
            </w14:solidFill>
          </w14:textFill>
        </w:rPr>
        <w:t>（姓名、职务）</w:t>
      </w:r>
      <w:r>
        <w:rPr>
          <w:bCs/>
          <w:color w:val="000000" w:themeColor="text1"/>
          <w:sz w:val="24"/>
          <w14:textFill>
            <w14:solidFill>
              <w14:schemeClr w14:val="tx1"/>
            </w14:solidFill>
          </w14:textFill>
        </w:rPr>
        <w:t>授权</w:t>
      </w:r>
      <w:r>
        <w:rPr>
          <w:bCs/>
          <w:color w:val="000000" w:themeColor="text1"/>
          <w:sz w:val="24"/>
          <w:u w:val="single"/>
          <w14:textFill>
            <w14:solidFill>
              <w14:schemeClr w14:val="tx1"/>
            </w14:solidFill>
          </w14:textFill>
        </w:rPr>
        <w:t>（被授权代表姓名、职务）</w:t>
      </w:r>
      <w:r>
        <w:rPr>
          <w:bCs/>
          <w:color w:val="000000" w:themeColor="text1"/>
          <w:sz w:val="24"/>
          <w14:textFill>
            <w14:solidFill>
              <w14:schemeClr w14:val="tx1"/>
            </w14:solidFill>
          </w14:textFill>
        </w:rPr>
        <w:t>为本公司合法代理人，参加贵</w:t>
      </w:r>
      <w:r>
        <w:rPr>
          <w:rFonts w:hint="eastAsia"/>
          <w:bCs/>
          <w:color w:val="000000" w:themeColor="text1"/>
          <w:sz w:val="24"/>
          <w14:textFill>
            <w14:solidFill>
              <w14:schemeClr w14:val="tx1"/>
            </w14:solidFill>
          </w14:textFill>
        </w:rPr>
        <w:t>处</w:t>
      </w:r>
      <w:r>
        <w:rPr>
          <w:bCs/>
          <w:color w:val="000000" w:themeColor="text1"/>
          <w:sz w:val="24"/>
          <w14:textFill>
            <w14:solidFill>
              <w14:schemeClr w14:val="tx1"/>
            </w14:solidFill>
          </w14:textFill>
        </w:rPr>
        <w:t>组织的</w:t>
      </w:r>
      <w:r>
        <w:rPr>
          <w:bCs/>
          <w:color w:val="000000" w:themeColor="text1"/>
          <w:sz w:val="24"/>
          <w:u w:val="single"/>
          <w14:textFill>
            <w14:solidFill>
              <w14:schemeClr w14:val="tx1"/>
            </w14:solidFill>
          </w14:textFill>
        </w:rPr>
        <w:t xml:space="preserve">   (项目名称)（项目编号）</w:t>
      </w:r>
      <w:r>
        <w:rPr>
          <w:bCs/>
          <w:color w:val="000000" w:themeColor="text1"/>
          <w:sz w:val="24"/>
          <w14:textFill>
            <w14:solidFill>
              <w14:schemeClr w14:val="tx1"/>
            </w14:solidFill>
          </w14:textFill>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本授权书于</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日签字生效，特此声明。</w:t>
      </w:r>
    </w:p>
    <w:p>
      <w:pPr>
        <w:rPr>
          <w:bCs/>
          <w:color w:val="000000" w:themeColor="text1"/>
          <w:sz w:val="24"/>
          <w14:textFill>
            <w14:solidFill>
              <w14:schemeClr w14:val="tx1"/>
            </w14:solidFill>
          </w14:textFill>
        </w:rPr>
      </w:pP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被授权人：职务：</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联系电话：手机：</w:t>
      </w:r>
    </w:p>
    <w:p>
      <w:pPr>
        <w:ind w:firstLine="120" w:firstLineChars="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身份证号码：</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投标人（盖章）：</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法定代表人（签名）：</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被授权人（签名）：</w:t>
      </w:r>
    </w:p>
    <w:p>
      <w:pPr>
        <w:rPr>
          <w:bCs/>
          <w:color w:val="000000" w:themeColor="text1"/>
          <w:sz w:val="24"/>
          <w14:textFill>
            <w14:solidFill>
              <w14:schemeClr w14:val="tx1"/>
            </w14:solidFill>
          </w14:textFill>
        </w:rPr>
      </w:pP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说明：1.本授权委托书要求投标人提供有</w:t>
      </w:r>
      <w:r>
        <w:rPr>
          <w:b/>
          <w:bCs/>
          <w:color w:val="000000" w:themeColor="text1"/>
          <w:szCs w:val="21"/>
          <w14:textFill>
            <w14:solidFill>
              <w14:schemeClr w14:val="tx1"/>
            </w14:solidFill>
          </w14:textFill>
        </w:rPr>
        <w:t>代理人签字、法定代表人的签字（或盖私章）和加盖公章</w:t>
      </w:r>
      <w:r>
        <w:rPr>
          <w:bCs/>
          <w:color w:val="000000" w:themeColor="text1"/>
          <w:szCs w:val="21"/>
          <w14:textFill>
            <w14:solidFill>
              <w14:schemeClr w14:val="tx1"/>
            </w14:solidFill>
          </w14:textFill>
        </w:rPr>
        <w:t>后的原件方为有效；</w:t>
      </w:r>
    </w:p>
    <w:p>
      <w:pPr>
        <w:ind w:left="420" w:right="2100" w:rightChars="1000" w:firstLine="210" w:firstLineChars="100"/>
        <w:jc w:val="left"/>
        <w:rPr>
          <w:snapToGrid w:val="0"/>
          <w:color w:val="000000" w:themeColor="text1"/>
          <w:kern w:val="0"/>
          <w14:textFill>
            <w14:solidFill>
              <w14:schemeClr w14:val="tx1"/>
            </w14:solidFill>
          </w14:textFill>
        </w:rPr>
      </w:pPr>
      <w:r>
        <w:rPr>
          <w:bCs/>
          <w:color w:val="000000" w:themeColor="text1"/>
          <w:szCs w:val="21"/>
          <w14:textFill>
            <w14:solidFill>
              <w14:schemeClr w14:val="tx1"/>
            </w14:solidFill>
          </w14:textFill>
        </w:rPr>
        <w:t>2.提供代理人的身份证复印件（附后）。</w:t>
      </w:r>
    </w:p>
    <w:p>
      <w:pPr>
        <w:widowControl/>
        <w:adjustRightInd w:val="0"/>
        <w:snapToGrid w:val="0"/>
        <w:spacing w:before="240" w:after="240" w:line="276" w:lineRule="auto"/>
        <w:jc w:val="center"/>
        <w:rPr>
          <w:b/>
          <w:bCs/>
          <w:color w:val="000000" w:themeColor="text1"/>
          <w:sz w:val="30"/>
          <w:szCs w:val="30"/>
          <w14:textFill>
            <w14:solidFill>
              <w14:schemeClr w14:val="tx1"/>
            </w14:solidFill>
          </w14:textFill>
        </w:rPr>
      </w:pPr>
    </w:p>
    <w:p>
      <w:pPr>
        <w:pStyle w:val="38"/>
        <w:rPr>
          <w:color w:val="000000" w:themeColor="text1"/>
          <w14:textFill>
            <w14:solidFill>
              <w14:schemeClr w14:val="tx1"/>
            </w14:solidFill>
          </w14:textFill>
        </w:rPr>
      </w:pPr>
    </w:p>
    <w:p>
      <w:pPr>
        <w:pStyle w:val="38"/>
        <w:jc w:val="both"/>
        <w:rPr>
          <w:color w:val="000000" w:themeColor="text1"/>
          <w14:textFill>
            <w14:solidFill>
              <w14:schemeClr w14:val="tx1"/>
            </w14:solidFill>
          </w14:textFill>
        </w:rPr>
      </w:pPr>
    </w:p>
    <w:p>
      <w:pPr>
        <w:jc w:val="center"/>
        <w:rPr>
          <w:rFonts w:ascii="宋体" w:hAnsi="宋体"/>
          <w:color w:val="000000" w:themeColor="text1"/>
          <w:kern w:val="0"/>
          <w:sz w:val="52"/>
          <w:szCs w:val="52"/>
          <w14:textFill>
            <w14:solidFill>
              <w14:schemeClr w14:val="tx1"/>
            </w14:solidFill>
          </w14:textFill>
        </w:rPr>
      </w:pPr>
      <w:r>
        <w:rPr>
          <w:rFonts w:ascii="宋体" w:hAnsi="宋体"/>
          <w:color w:val="000000" w:themeColor="text1"/>
          <w:kern w:val="0"/>
          <w:sz w:val="52"/>
          <w:szCs w:val="52"/>
          <w14:textFill>
            <w14:solidFill>
              <w14:schemeClr w14:val="tx1"/>
            </w14:solidFill>
          </w14:textFill>
        </w:rPr>
        <w:t>HITSZ-EIC-IM01</w:t>
      </w:r>
    </w:p>
    <w:p>
      <w:pPr>
        <w:jc w:val="center"/>
        <w:rPr>
          <w:color w:val="000000" w:themeColor="text1"/>
          <w:kern w:val="0"/>
          <w:sz w:val="52"/>
          <w:szCs w:val="52"/>
          <w14:textFill>
            <w14:solidFill>
              <w14:schemeClr w14:val="tx1"/>
            </w14:solidFill>
          </w14:textFill>
        </w:rPr>
      </w:pPr>
      <w:r>
        <w:rPr>
          <w:rFonts w:hint="eastAsia"/>
          <w:color w:val="000000" w:themeColor="text1"/>
          <w:kern w:val="0"/>
          <w:sz w:val="52"/>
          <w:szCs w:val="52"/>
          <w14:textFill>
            <w14:solidFill>
              <w14:schemeClr w14:val="tx1"/>
            </w14:solidFill>
          </w14:textFill>
        </w:rPr>
        <w:t>哈尔滨工业大学（深圳）实验与创新实践教育中心网站建设</w:t>
      </w:r>
    </w:p>
    <w:p>
      <w:pPr>
        <w:jc w:val="center"/>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（投标文件）</w:t>
      </w: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spacing w:line="480" w:lineRule="auto"/>
        <w:ind w:firstLine="1400" w:firstLineChars="50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项目编号：_____________________________</w:t>
      </w:r>
    </w:p>
    <w:p>
      <w:pPr>
        <w:spacing w:line="480" w:lineRule="auto"/>
        <w:ind w:firstLine="1400" w:firstLineChars="50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供应商（盖章）：___________________________</w:t>
      </w:r>
    </w:p>
    <w:p>
      <w:pPr>
        <w:spacing w:line="48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法定代表人或授权委托人签字：__________________</w:t>
      </w:r>
    </w:p>
    <w:p>
      <w:pPr>
        <w:ind w:firstLine="1400" w:firstLineChars="500"/>
        <w:outlineLvl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投标日期：____________年_____月______日</w:t>
      </w:r>
    </w:p>
    <w:p>
      <w:pPr>
        <w:ind w:firstLine="1400" w:firstLineChars="500"/>
        <w:outlineLvl w:val="2"/>
        <w:rPr>
          <w:b/>
          <w:bCs/>
          <w:color w:val="000000" w:themeColor="text1"/>
          <w:sz w:val="32"/>
          <w:szCs w:val="32"/>
          <w14:textFill>
            <w14:solidFill>
              <w14:schemeClr w14:val="tx1"/>
            </w14:solidFill>
          </w14:textFill>
        </w:rPr>
      </w:pPr>
      <w:r>
        <w:rPr>
          <w:color w:val="000000" w:themeColor="text1"/>
          <w:sz w:val="28"/>
          <w:szCs w:val="28"/>
          <w14:textFill>
            <w14:solidFill>
              <w14:schemeClr w14:val="tx1"/>
            </w14:solidFill>
          </w14:textFill>
        </w:rPr>
        <w:br w:type="page"/>
      </w:r>
    </w:p>
    <w:p>
      <w:pPr>
        <w:jc w:val="center"/>
        <w:outlineLvl w:val="2"/>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投标文件目录</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一、评标指引表</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二、声明及承诺函</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三、法定代表人资格证明书</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四、法定代表人授权书</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五、投标函</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六、分项报价清单表</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七、供应商情况介绍</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八、项目管理班子配备情况（表1 ~表4）</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九、项目实施方案</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十、服务条款</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十一、商务条款偏离表</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十二、技术规格偏离表</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十三、中小企业声明函</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十四、</w:t>
      </w:r>
      <w:r>
        <w:rPr>
          <w:bCs/>
          <w:color w:val="000000" w:themeColor="text1"/>
          <w:sz w:val="24"/>
          <w14:textFill>
            <w14:solidFill>
              <w14:schemeClr w14:val="tx1"/>
            </w14:solidFill>
          </w14:textFill>
        </w:rPr>
        <w:t>诚信承诺函</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十五、招标文件要求的其他内容及投标人认为需要加以说明的其他内容</w:t>
      </w:r>
    </w:p>
    <w:p>
      <w:pPr>
        <w:jc w:val="center"/>
        <w:outlineLvl w:val="2"/>
        <w:rPr>
          <w:snapToGrid w:val="0"/>
          <w:color w:val="000000" w:themeColor="text1"/>
          <w:kern w:val="0"/>
          <w14:textFill>
            <w14:solidFill>
              <w14:schemeClr w14:val="tx1"/>
            </w14:solidFill>
          </w14:textFill>
        </w:rPr>
      </w:pPr>
      <w:r>
        <w:rPr>
          <w:b/>
          <w:bCs/>
          <w:color w:val="000000" w:themeColor="text1"/>
          <w:sz w:val="32"/>
          <w:szCs w:val="32"/>
          <w14:textFill>
            <w14:solidFill>
              <w14:schemeClr w14:val="tx1"/>
            </w14:solidFill>
          </w14:textFill>
        </w:rPr>
        <w:br w:type="page"/>
      </w:r>
      <w:r>
        <w:rPr>
          <w:b/>
          <w:bCs/>
          <w:color w:val="000000" w:themeColor="text1"/>
          <w:sz w:val="32"/>
          <w:szCs w:val="32"/>
          <w14:textFill>
            <w14:solidFill>
              <w14:schemeClr w14:val="tx1"/>
            </w14:solidFill>
          </w14:textFill>
        </w:rPr>
        <w:t>一、评标指引表</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（置于投标文件的首页）</w:t>
      </w:r>
    </w:p>
    <w:p>
      <w:pPr>
        <w:jc w:val="center"/>
        <w:rPr>
          <w:b/>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为方便参与该项目的评委专家的评标，快速找到评标事项与该项目投标文件所对应的位置，请投标人参照下表格式，编制本项目评标指引表。</w:t>
      </w:r>
    </w:p>
    <w:p>
      <w:pPr>
        <w:jc w:val="center"/>
        <w:rPr>
          <w:b/>
          <w:color w:val="000000" w:themeColor="text1"/>
          <w14:textFill>
            <w14:solidFill>
              <w14:schemeClr w14:val="tx1"/>
            </w14:solidFill>
          </w14:textFill>
        </w:rPr>
      </w:pP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哈尔滨工业大学（深圳）实验与创新实践教育中心网站建设</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82"/>
        <w:gridCol w:w="658"/>
        <w:gridCol w:w="2160"/>
        <w:gridCol w:w="130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序号</w:t>
            </w:r>
          </w:p>
        </w:tc>
        <w:tc>
          <w:tcPr>
            <w:tcW w:w="3482"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资格性检查项目</w:t>
            </w:r>
          </w:p>
        </w:tc>
        <w:tc>
          <w:tcPr>
            <w:tcW w:w="4125" w:type="dxa"/>
            <w:gridSpan w:val="3"/>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证明文件</w:t>
            </w:r>
          </w:p>
        </w:tc>
        <w:tc>
          <w:tcPr>
            <w:tcW w:w="1419"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1</w:t>
            </w:r>
          </w:p>
        </w:tc>
        <w:tc>
          <w:tcPr>
            <w:tcW w:w="3482" w:type="dxa"/>
            <w:vAlign w:val="center"/>
          </w:tcPr>
          <w:p>
            <w:pPr>
              <w:jc w:val="center"/>
              <w:rPr>
                <w:b/>
                <w:color w:val="000000" w:themeColor="text1"/>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2</w:t>
            </w:r>
          </w:p>
        </w:tc>
        <w:tc>
          <w:tcPr>
            <w:tcW w:w="3482" w:type="dxa"/>
            <w:vAlign w:val="center"/>
          </w:tcPr>
          <w:p>
            <w:pPr>
              <w:jc w:val="center"/>
              <w:rPr>
                <w:b/>
                <w:color w:val="000000" w:themeColor="text1"/>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p>
        </w:tc>
        <w:tc>
          <w:tcPr>
            <w:tcW w:w="3482"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序号</w:t>
            </w:r>
          </w:p>
        </w:tc>
        <w:tc>
          <w:tcPr>
            <w:tcW w:w="3482"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符合性检查项目</w:t>
            </w:r>
          </w:p>
        </w:tc>
        <w:tc>
          <w:tcPr>
            <w:tcW w:w="4125" w:type="dxa"/>
            <w:gridSpan w:val="3"/>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说明</w:t>
            </w:r>
          </w:p>
        </w:tc>
        <w:tc>
          <w:tcPr>
            <w:tcW w:w="1419"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1</w:t>
            </w:r>
          </w:p>
        </w:tc>
        <w:tc>
          <w:tcPr>
            <w:tcW w:w="3482" w:type="dxa"/>
          </w:tcPr>
          <w:p>
            <w:pPr>
              <w:jc w:val="center"/>
              <w:rPr>
                <w:b/>
                <w:color w:val="000000" w:themeColor="text1"/>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2</w:t>
            </w:r>
          </w:p>
        </w:tc>
        <w:tc>
          <w:tcPr>
            <w:tcW w:w="3482" w:type="dxa"/>
          </w:tcPr>
          <w:p>
            <w:pPr>
              <w:jc w:val="center"/>
              <w:rPr>
                <w:b/>
                <w:color w:val="000000" w:themeColor="text1"/>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3</w:t>
            </w:r>
          </w:p>
        </w:tc>
        <w:tc>
          <w:tcPr>
            <w:tcW w:w="3482" w:type="dxa"/>
          </w:tcPr>
          <w:p>
            <w:pPr>
              <w:jc w:val="center"/>
              <w:rPr>
                <w:b/>
                <w:color w:val="000000" w:themeColor="text1"/>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4</w:t>
            </w:r>
          </w:p>
        </w:tc>
        <w:tc>
          <w:tcPr>
            <w:tcW w:w="3482" w:type="dxa"/>
          </w:tcPr>
          <w:p>
            <w:pPr>
              <w:jc w:val="center"/>
              <w:rPr>
                <w:b/>
                <w:color w:val="000000" w:themeColor="text1"/>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5</w:t>
            </w:r>
          </w:p>
        </w:tc>
        <w:tc>
          <w:tcPr>
            <w:tcW w:w="3482" w:type="dxa"/>
          </w:tcPr>
          <w:p>
            <w:pPr>
              <w:jc w:val="center"/>
              <w:rPr>
                <w:color w:val="000000" w:themeColor="text1"/>
                <w:sz w:val="24"/>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6</w:t>
            </w:r>
          </w:p>
        </w:tc>
        <w:tc>
          <w:tcPr>
            <w:tcW w:w="3482" w:type="dxa"/>
          </w:tcPr>
          <w:p>
            <w:pPr>
              <w:jc w:val="center"/>
              <w:rPr>
                <w:color w:val="000000" w:themeColor="text1"/>
                <w:sz w:val="24"/>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7</w:t>
            </w:r>
          </w:p>
        </w:tc>
        <w:tc>
          <w:tcPr>
            <w:tcW w:w="3482" w:type="dxa"/>
          </w:tcPr>
          <w:p>
            <w:pPr>
              <w:jc w:val="center"/>
              <w:rPr>
                <w:color w:val="000000" w:themeColor="text1"/>
                <w:sz w:val="24"/>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8</w:t>
            </w:r>
          </w:p>
        </w:tc>
        <w:tc>
          <w:tcPr>
            <w:tcW w:w="3482" w:type="dxa"/>
          </w:tcPr>
          <w:p>
            <w:pPr>
              <w:jc w:val="center"/>
              <w:rPr>
                <w:b/>
                <w:color w:val="000000" w:themeColor="text1"/>
                <w14:textFill>
                  <w14:solidFill>
                    <w14:schemeClr w14:val="tx1"/>
                  </w14:solidFill>
                </w14:textFill>
              </w:rPr>
            </w:pPr>
          </w:p>
        </w:tc>
        <w:tc>
          <w:tcPr>
            <w:tcW w:w="4125" w:type="dxa"/>
            <w:gridSpan w:val="3"/>
            <w:vAlign w:val="center"/>
          </w:tcPr>
          <w:p>
            <w:pPr>
              <w:jc w:val="center"/>
              <w:rPr>
                <w:b/>
                <w:color w:val="000000" w:themeColor="text1"/>
                <w14:textFill>
                  <w14:solidFill>
                    <w14:schemeClr w14:val="tx1"/>
                  </w14:solidFill>
                </w14:textFill>
              </w:rPr>
            </w:pPr>
          </w:p>
        </w:tc>
        <w:tc>
          <w:tcPr>
            <w:tcW w:w="1419" w:type="dxa"/>
            <w:vAlign w:val="center"/>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评分类别</w:t>
            </w:r>
          </w:p>
        </w:tc>
        <w:tc>
          <w:tcPr>
            <w:tcW w:w="4140" w:type="dxa"/>
            <w:gridSpan w:val="2"/>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评分项目</w:t>
            </w:r>
          </w:p>
        </w:tc>
        <w:tc>
          <w:tcPr>
            <w:tcW w:w="2160"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分值</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（或权重）</w:t>
            </w:r>
          </w:p>
        </w:tc>
        <w:tc>
          <w:tcPr>
            <w:tcW w:w="1307"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对应章节</w:t>
            </w:r>
          </w:p>
        </w:tc>
        <w:tc>
          <w:tcPr>
            <w:tcW w:w="1419"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商务部分</w:t>
            </w:r>
          </w:p>
        </w:tc>
        <w:tc>
          <w:tcPr>
            <w:tcW w:w="4140" w:type="dxa"/>
            <w:gridSpan w:val="2"/>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1.…………</w:t>
            </w:r>
          </w:p>
        </w:tc>
        <w:tc>
          <w:tcPr>
            <w:tcW w:w="2160" w:type="dxa"/>
          </w:tcPr>
          <w:p>
            <w:pPr>
              <w:jc w:val="center"/>
              <w:rPr>
                <w:b/>
                <w:color w:val="000000" w:themeColor="text1"/>
                <w14:textFill>
                  <w14:solidFill>
                    <w14:schemeClr w14:val="tx1"/>
                  </w14:solidFill>
                </w14:textFill>
              </w:rPr>
            </w:pPr>
          </w:p>
        </w:tc>
        <w:tc>
          <w:tcPr>
            <w:tcW w:w="1307" w:type="dxa"/>
          </w:tcPr>
          <w:p>
            <w:pPr>
              <w:jc w:val="center"/>
              <w:rPr>
                <w:b/>
                <w:color w:val="000000" w:themeColor="text1"/>
                <w14:textFill>
                  <w14:solidFill>
                    <w14:schemeClr w14:val="tx1"/>
                  </w14:solidFill>
                </w14:textFill>
              </w:rPr>
            </w:pPr>
          </w:p>
        </w:tc>
        <w:tc>
          <w:tcPr>
            <w:tcW w:w="1419" w:type="dxa"/>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jc w:val="center"/>
              <w:rPr>
                <w:b/>
                <w:color w:val="000000" w:themeColor="text1"/>
                <w14:textFill>
                  <w14:solidFill>
                    <w14:schemeClr w14:val="tx1"/>
                  </w14:solidFill>
                </w14:textFill>
              </w:rPr>
            </w:pPr>
          </w:p>
        </w:tc>
        <w:tc>
          <w:tcPr>
            <w:tcW w:w="4140" w:type="dxa"/>
            <w:gridSpan w:val="2"/>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2.…………</w:t>
            </w:r>
          </w:p>
        </w:tc>
        <w:tc>
          <w:tcPr>
            <w:tcW w:w="2160" w:type="dxa"/>
          </w:tcPr>
          <w:p>
            <w:pPr>
              <w:jc w:val="center"/>
              <w:rPr>
                <w:b/>
                <w:color w:val="000000" w:themeColor="text1"/>
                <w14:textFill>
                  <w14:solidFill>
                    <w14:schemeClr w14:val="tx1"/>
                  </w14:solidFill>
                </w14:textFill>
              </w:rPr>
            </w:pPr>
          </w:p>
        </w:tc>
        <w:tc>
          <w:tcPr>
            <w:tcW w:w="1307" w:type="dxa"/>
          </w:tcPr>
          <w:p>
            <w:pPr>
              <w:jc w:val="center"/>
              <w:rPr>
                <w:b/>
                <w:color w:val="000000" w:themeColor="text1"/>
                <w14:textFill>
                  <w14:solidFill>
                    <w14:schemeClr w14:val="tx1"/>
                  </w14:solidFill>
                </w14:textFill>
              </w:rPr>
            </w:pPr>
          </w:p>
        </w:tc>
        <w:tc>
          <w:tcPr>
            <w:tcW w:w="1419" w:type="dxa"/>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jc w:val="center"/>
              <w:rPr>
                <w:b/>
                <w:color w:val="000000" w:themeColor="text1"/>
                <w14:textFill>
                  <w14:solidFill>
                    <w14:schemeClr w14:val="tx1"/>
                  </w14:solidFill>
                </w14:textFill>
              </w:rPr>
            </w:pPr>
          </w:p>
        </w:tc>
        <w:tc>
          <w:tcPr>
            <w:tcW w:w="4140" w:type="dxa"/>
            <w:gridSpan w:val="2"/>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p>
        </w:tc>
        <w:tc>
          <w:tcPr>
            <w:tcW w:w="2160" w:type="dxa"/>
          </w:tcPr>
          <w:p>
            <w:pPr>
              <w:jc w:val="center"/>
              <w:rPr>
                <w:b/>
                <w:color w:val="000000" w:themeColor="text1"/>
                <w14:textFill>
                  <w14:solidFill>
                    <w14:schemeClr w14:val="tx1"/>
                  </w14:solidFill>
                </w14:textFill>
              </w:rPr>
            </w:pPr>
          </w:p>
        </w:tc>
        <w:tc>
          <w:tcPr>
            <w:tcW w:w="1307" w:type="dxa"/>
          </w:tcPr>
          <w:p>
            <w:pPr>
              <w:jc w:val="center"/>
              <w:rPr>
                <w:b/>
                <w:color w:val="000000" w:themeColor="text1"/>
                <w14:textFill>
                  <w14:solidFill>
                    <w14:schemeClr w14:val="tx1"/>
                  </w14:solidFill>
                </w14:textFill>
              </w:rPr>
            </w:pPr>
          </w:p>
        </w:tc>
        <w:tc>
          <w:tcPr>
            <w:tcW w:w="1419" w:type="dxa"/>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技术部分</w:t>
            </w:r>
          </w:p>
        </w:tc>
        <w:tc>
          <w:tcPr>
            <w:tcW w:w="4140" w:type="dxa"/>
            <w:gridSpan w:val="2"/>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1.…………</w:t>
            </w:r>
          </w:p>
        </w:tc>
        <w:tc>
          <w:tcPr>
            <w:tcW w:w="2160" w:type="dxa"/>
          </w:tcPr>
          <w:p>
            <w:pPr>
              <w:jc w:val="center"/>
              <w:rPr>
                <w:b/>
                <w:color w:val="000000" w:themeColor="text1"/>
                <w14:textFill>
                  <w14:solidFill>
                    <w14:schemeClr w14:val="tx1"/>
                  </w14:solidFill>
                </w14:textFill>
              </w:rPr>
            </w:pPr>
          </w:p>
        </w:tc>
        <w:tc>
          <w:tcPr>
            <w:tcW w:w="1307" w:type="dxa"/>
          </w:tcPr>
          <w:p>
            <w:pPr>
              <w:jc w:val="center"/>
              <w:rPr>
                <w:b/>
                <w:color w:val="000000" w:themeColor="text1"/>
                <w14:textFill>
                  <w14:solidFill>
                    <w14:schemeClr w14:val="tx1"/>
                  </w14:solidFill>
                </w14:textFill>
              </w:rPr>
            </w:pPr>
          </w:p>
        </w:tc>
        <w:tc>
          <w:tcPr>
            <w:tcW w:w="1419" w:type="dxa"/>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jc w:val="center"/>
              <w:rPr>
                <w:b/>
                <w:color w:val="000000" w:themeColor="text1"/>
                <w14:textFill>
                  <w14:solidFill>
                    <w14:schemeClr w14:val="tx1"/>
                  </w14:solidFill>
                </w14:textFill>
              </w:rPr>
            </w:pPr>
          </w:p>
        </w:tc>
        <w:tc>
          <w:tcPr>
            <w:tcW w:w="4140" w:type="dxa"/>
            <w:gridSpan w:val="2"/>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2.…………</w:t>
            </w:r>
          </w:p>
        </w:tc>
        <w:tc>
          <w:tcPr>
            <w:tcW w:w="2160" w:type="dxa"/>
          </w:tcPr>
          <w:p>
            <w:pPr>
              <w:jc w:val="center"/>
              <w:rPr>
                <w:b/>
                <w:color w:val="000000" w:themeColor="text1"/>
                <w14:textFill>
                  <w14:solidFill>
                    <w14:schemeClr w14:val="tx1"/>
                  </w14:solidFill>
                </w14:textFill>
              </w:rPr>
            </w:pPr>
          </w:p>
        </w:tc>
        <w:tc>
          <w:tcPr>
            <w:tcW w:w="1307" w:type="dxa"/>
          </w:tcPr>
          <w:p>
            <w:pPr>
              <w:jc w:val="center"/>
              <w:rPr>
                <w:b/>
                <w:color w:val="000000" w:themeColor="text1"/>
                <w14:textFill>
                  <w14:solidFill>
                    <w14:schemeClr w14:val="tx1"/>
                  </w14:solidFill>
                </w14:textFill>
              </w:rPr>
            </w:pPr>
          </w:p>
        </w:tc>
        <w:tc>
          <w:tcPr>
            <w:tcW w:w="1419" w:type="dxa"/>
          </w:tcPr>
          <w:p>
            <w:pPr>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jc w:val="center"/>
              <w:rPr>
                <w:b/>
                <w:color w:val="000000" w:themeColor="text1"/>
                <w14:textFill>
                  <w14:solidFill>
                    <w14:schemeClr w14:val="tx1"/>
                  </w14:solidFill>
                </w14:textFill>
              </w:rPr>
            </w:pPr>
          </w:p>
        </w:tc>
        <w:tc>
          <w:tcPr>
            <w:tcW w:w="4140" w:type="dxa"/>
            <w:gridSpan w:val="2"/>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p>
        </w:tc>
        <w:tc>
          <w:tcPr>
            <w:tcW w:w="2160" w:type="dxa"/>
          </w:tcPr>
          <w:p>
            <w:pPr>
              <w:jc w:val="center"/>
              <w:rPr>
                <w:b/>
                <w:color w:val="000000" w:themeColor="text1"/>
                <w14:textFill>
                  <w14:solidFill>
                    <w14:schemeClr w14:val="tx1"/>
                  </w14:solidFill>
                </w14:textFill>
              </w:rPr>
            </w:pPr>
          </w:p>
        </w:tc>
        <w:tc>
          <w:tcPr>
            <w:tcW w:w="1307" w:type="dxa"/>
          </w:tcPr>
          <w:p>
            <w:pPr>
              <w:jc w:val="center"/>
              <w:rPr>
                <w:b/>
                <w:color w:val="000000" w:themeColor="text1"/>
                <w14:textFill>
                  <w14:solidFill>
                    <w14:schemeClr w14:val="tx1"/>
                  </w14:solidFill>
                </w14:textFill>
              </w:rPr>
            </w:pPr>
          </w:p>
        </w:tc>
        <w:tc>
          <w:tcPr>
            <w:tcW w:w="1419" w:type="dxa"/>
          </w:tcPr>
          <w:p>
            <w:pPr>
              <w:jc w:val="center"/>
              <w:rPr>
                <w:b/>
                <w:color w:val="000000" w:themeColor="text1"/>
                <w14:textFill>
                  <w14:solidFill>
                    <w14:schemeClr w14:val="tx1"/>
                  </w14:solidFill>
                </w14:textFill>
              </w:rPr>
            </w:pPr>
          </w:p>
        </w:tc>
      </w:tr>
    </w:tbl>
    <w:p>
      <w:pPr>
        <w:ind w:firstLine="422" w:firstLineChars="200"/>
        <w:rPr>
          <w:b/>
          <w:color w:val="000000" w:themeColor="text1"/>
          <w14:textFill>
            <w14:solidFill>
              <w14:schemeClr w14:val="tx1"/>
            </w14:solidFill>
          </w14:textFill>
        </w:rPr>
      </w:pPr>
      <w:r>
        <w:rPr>
          <w:b/>
          <w:color w:val="000000" w:themeColor="text1"/>
          <w:szCs w:val="21"/>
          <w14:textFill>
            <w14:solidFill>
              <w14:schemeClr w14:val="tx1"/>
            </w14:solidFill>
          </w14:textFill>
        </w:rPr>
        <w:t>注：请投标人按照“关键信息——投标文件初审表、评标信息”的审查和评分内容，自上而下的顺序填写本表</w:t>
      </w:r>
      <w:r>
        <w:rPr>
          <w:b/>
          <w:color w:val="000000" w:themeColor="text1"/>
          <w14:textFill>
            <w14:solidFill>
              <w14:schemeClr w14:val="tx1"/>
            </w14:solidFill>
          </w14:textFill>
        </w:rPr>
        <w:t>。因项目次序混乱而影响评标效率及评标结果者，投标人自负其责。</w:t>
      </w:r>
    </w:p>
    <w:p>
      <w:pPr>
        <w:pStyle w:val="3"/>
        <w:spacing w:before="120" w:after="120"/>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二、声明及承诺函</w:t>
      </w:r>
    </w:p>
    <w:p>
      <w:pPr>
        <w:pStyle w:val="5"/>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声明</w:t>
      </w:r>
    </w:p>
    <w:p>
      <w:pPr>
        <w:widowControl/>
        <w:spacing w:line="240" w:lineRule="exact"/>
        <w:jc w:val="left"/>
        <w:rPr>
          <w:color w:val="000000" w:themeColor="text1"/>
          <w:kern w:val="0"/>
          <w:sz w:val="32"/>
          <w:szCs w:val="18"/>
          <w14:textFill>
            <w14:solidFill>
              <w14:schemeClr w14:val="tx1"/>
            </w14:solidFill>
          </w14:textFill>
        </w:rPr>
      </w:pPr>
    </w:p>
    <w:p>
      <w:pPr>
        <w:widowControl/>
        <w:snapToGrid w:val="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哈尔滨工业大学（深圳）</w:t>
      </w:r>
      <w:r>
        <w:rPr>
          <w:color w:val="000000" w:themeColor="text1"/>
          <w:kern w:val="0"/>
          <w:sz w:val="24"/>
          <w14:textFill>
            <w14:solidFill>
              <w14:schemeClr w14:val="tx1"/>
            </w14:solidFill>
          </w14:textFill>
        </w:rPr>
        <w:t>：</w:t>
      </w:r>
    </w:p>
    <w:p>
      <w:pPr>
        <w:widowControl/>
        <w:snapToGrid w:val="0"/>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本公司就参加项目投标工作，作出郑重声明：</w:t>
      </w:r>
    </w:p>
    <w:p>
      <w:pPr>
        <w:widowControl/>
        <w:snapToGrid w:val="0"/>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1．我公司已完全理解该项目招标公告所列明的全部条件，亦保证我公司完全符合本项目的投标条件。</w:t>
      </w:r>
    </w:p>
    <w:p>
      <w:pPr>
        <w:widowControl/>
        <w:snapToGrid w:val="0"/>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2．我公司严格按照</w:t>
      </w:r>
      <w:r>
        <w:rPr>
          <w:color w:val="000000" w:themeColor="text1"/>
          <w:sz w:val="24"/>
          <w14:textFill>
            <w14:solidFill>
              <w14:schemeClr w14:val="tx1"/>
            </w14:solidFill>
          </w14:textFill>
        </w:rPr>
        <w:t>贵方</w:t>
      </w:r>
      <w:r>
        <w:rPr>
          <w:color w:val="000000" w:themeColor="text1"/>
          <w:kern w:val="0"/>
          <w:sz w:val="24"/>
          <w14:textFill>
            <w14:solidFill>
              <w14:schemeClr w14:val="tx1"/>
            </w14:solidFill>
          </w14:textFill>
        </w:rPr>
        <w:t>提供的标书样本填写和提交相关内容，保证所提交的投标资料全部真实有效，并</w:t>
      </w:r>
      <w:r>
        <w:rPr>
          <w:color w:val="000000" w:themeColor="text1"/>
          <w:sz w:val="24"/>
          <w14:textFill>
            <w14:solidFill>
              <w14:schemeClr w14:val="tx1"/>
            </w14:solidFill>
          </w14:textFill>
        </w:rPr>
        <w:t>愿意向贵方及采购单位提供任何与本项目有关的数据、情况和技术资料。</w:t>
      </w:r>
    </w:p>
    <w:p>
      <w:pPr>
        <w:snapToGrid w:val="0"/>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3．保证遵守招标文件的规定，放弃提出对招标文件误解的权利。</w:t>
      </w:r>
    </w:p>
    <w:p>
      <w:pPr>
        <w:snapToGrid w:val="0"/>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以上声明若有违反，一经查实，本人和本公司愿意接受有关部门的相应处罚，并愿意承担由此带来的法律后果。</w:t>
      </w:r>
    </w:p>
    <w:p>
      <w:pPr>
        <w:snapToGrid w:val="0"/>
        <w:ind w:firstLine="480" w:firstLineChars="200"/>
        <w:rPr>
          <w:color w:val="000000" w:themeColor="text1"/>
          <w:sz w:val="24"/>
          <w14:textFill>
            <w14:solidFill>
              <w14:schemeClr w14:val="tx1"/>
            </w14:solidFill>
          </w14:textFill>
        </w:rPr>
      </w:pPr>
    </w:p>
    <w:p>
      <w:pPr>
        <w:spacing w:line="460" w:lineRule="exact"/>
        <w:rPr>
          <w:color w:val="000000" w:themeColor="text1"/>
          <w:sz w:val="24"/>
          <w14:textFill>
            <w14:solidFill>
              <w14:schemeClr w14:val="tx1"/>
            </w14:solidFill>
          </w14:textFill>
        </w:rPr>
      </w:pPr>
    </w:p>
    <w:p>
      <w:pPr>
        <w:widowControl/>
        <w:spacing w:line="360" w:lineRule="auto"/>
        <w:jc w:val="left"/>
        <w:rPr>
          <w:color w:val="000000" w:themeColor="text1"/>
          <w:sz w:val="24"/>
          <w14:textFill>
            <w14:solidFill>
              <w14:schemeClr w14:val="tx1"/>
            </w14:solidFill>
          </w14:textFill>
        </w:rPr>
      </w:pPr>
    </w:p>
    <w:p>
      <w:pPr>
        <w:widowControl/>
        <w:snapToGrid w:val="0"/>
        <w:ind w:right="1274" w:firstLine="480" w:firstLineChars="200"/>
        <w:jc w:val="righ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声明企业（公章）：</w:t>
      </w:r>
    </w:p>
    <w:p>
      <w:pPr>
        <w:widowControl/>
        <w:snapToGrid w:val="0"/>
        <w:ind w:right="1274" w:firstLine="480" w:firstLineChars="200"/>
        <w:jc w:val="righ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声明人（法定代表人）签字：</w:t>
      </w:r>
    </w:p>
    <w:p>
      <w:pPr>
        <w:widowControl/>
        <w:snapToGrid w:val="0"/>
        <w:ind w:right="1274" w:firstLine="480" w:firstLineChars="200"/>
        <w:jc w:val="righ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声明人（法定代表人授权委托人）签字：</w:t>
      </w:r>
    </w:p>
    <w:p>
      <w:pPr>
        <w:widowControl/>
        <w:snapToGrid w:val="0"/>
        <w:ind w:right="140" w:firstLine="480" w:firstLineChars="200"/>
        <w:jc w:val="righ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年</w:t>
      </w: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月</w:t>
      </w: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日</w:t>
      </w:r>
    </w:p>
    <w:p>
      <w:pPr>
        <w:ind w:right="1274" w:firstLine="540"/>
        <w:rPr>
          <w:color w:val="000000" w:themeColor="text1"/>
          <w:sz w:val="24"/>
          <w14:textFill>
            <w14:solidFill>
              <w14:schemeClr w14:val="tx1"/>
            </w14:solidFill>
          </w14:textFill>
        </w:rPr>
      </w:pPr>
    </w:p>
    <w:p>
      <w:pPr>
        <w:pStyle w:val="5"/>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承诺函</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rFonts w:hint="eastAsia"/>
          <w:color w:val="000000" w:themeColor="text1"/>
          <w:sz w:val="24"/>
          <w14:textFill>
            <w14:solidFill>
              <w14:schemeClr w14:val="tx1"/>
            </w14:solidFill>
          </w14:textFill>
        </w:rPr>
        <w:t>哈尔滨工业大学（深圳）</w:t>
      </w:r>
    </w:p>
    <w:p>
      <w:pPr>
        <w:rPr>
          <w:color w:val="000000" w:themeColor="text1"/>
          <w:sz w:val="24"/>
          <w14:textFill>
            <w14:solidFill>
              <w14:schemeClr w14:val="tx1"/>
            </w14:solidFill>
          </w14:textFill>
        </w:rPr>
      </w:pPr>
    </w:p>
    <w:p>
      <w:pPr>
        <w:ind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我公司承诺，对本招标项目所提供的货物、工程或服务未侵犯知识产权。我公司已清楚，提供虚假承诺或者被有关单位确认为侵犯知识产权的，三年内不得参加政府采购活动。</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公司承诺，如《商务条款偏离表》与《技术规格偏离表》所填写“偏离情况”与投标文件实质内容不符的，按《中华人民共和国政府采购法》第七十七条“（一）提供虚假材料谋取中标、成交的”追求责任，一年内不得参加政府采购活动。</w:t>
      </w:r>
    </w:p>
    <w:p>
      <w:pPr>
        <w:ind w:firstLine="645"/>
        <w:rPr>
          <w:color w:val="000000" w:themeColor="text1"/>
          <w:sz w:val="24"/>
          <w14:textFill>
            <w14:solidFill>
              <w14:schemeClr w14:val="tx1"/>
            </w14:solidFill>
          </w14:textFill>
        </w:rPr>
      </w:pPr>
    </w:p>
    <w:p>
      <w:pPr>
        <w:ind w:firstLine="645"/>
        <w:rPr>
          <w:color w:val="000000" w:themeColor="text1"/>
          <w:sz w:val="24"/>
          <w14:textFill>
            <w14:solidFill>
              <w14:schemeClr w14:val="tx1"/>
            </w14:solidFill>
          </w14:textFill>
        </w:rPr>
      </w:pPr>
    </w:p>
    <w:p>
      <w:pPr>
        <w:ind w:right="1273" w:rightChars="606" w:firstLine="4960" w:firstLineChars="2067"/>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公司名称</w:t>
      </w:r>
      <w:r>
        <w:rPr>
          <w:color w:val="000000" w:themeColor="text1"/>
          <w14:textFill>
            <w14:solidFill>
              <w14:schemeClr w14:val="tx1"/>
            </w14:solidFill>
          </w14:textFill>
        </w:rPr>
        <w:t>（</w:t>
      </w:r>
      <w:r>
        <w:rPr>
          <w:b/>
          <w:color w:val="000000" w:themeColor="text1"/>
          <w14:textFill>
            <w14:solidFill>
              <w14:schemeClr w14:val="tx1"/>
            </w14:solidFill>
          </w14:textFill>
        </w:rPr>
        <w:t>加盖单位公章）</w:t>
      </w:r>
      <w:r>
        <w:rPr>
          <w:color w:val="000000" w:themeColor="text1"/>
          <w:sz w:val="24"/>
          <w14:textFill>
            <w14:solidFill>
              <w14:schemeClr w14:val="tx1"/>
            </w14:solidFill>
          </w14:textFill>
        </w:rPr>
        <w:t>：</w:t>
      </w:r>
    </w:p>
    <w:p>
      <w:pPr>
        <w:ind w:right="1273" w:rightChars="606" w:firstLine="645"/>
        <w:jc w:val="right"/>
        <w:rPr>
          <w:color w:val="000000" w:themeColor="text1"/>
          <w:sz w:val="24"/>
          <w14:textFill>
            <w14:solidFill>
              <w14:schemeClr w14:val="tx1"/>
            </w14:solidFill>
          </w14:textFill>
        </w:rPr>
      </w:pPr>
    </w:p>
    <w:p>
      <w:pPr>
        <w:pStyle w:val="10"/>
        <w:ind w:right="-1"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p>
    <w:p>
      <w:pPr>
        <w:pStyle w:val="3"/>
        <w:spacing w:before="120" w:after="120"/>
        <w:jc w:val="center"/>
        <w:rPr>
          <w:color w:val="000000" w:themeColor="text1"/>
          <w14:textFill>
            <w14:solidFill>
              <w14:schemeClr w14:val="tx1"/>
            </w14:solidFill>
          </w14:textFill>
        </w:rPr>
      </w:pPr>
      <w:r>
        <w:rPr>
          <w:color w:val="000000" w:themeColor="text1"/>
          <w:kern w:val="0"/>
          <w:sz w:val="24"/>
          <w14:textFill>
            <w14:solidFill>
              <w14:schemeClr w14:val="tx1"/>
            </w14:solidFill>
          </w14:textFill>
        </w:rPr>
        <w:br w:type="page"/>
      </w:r>
      <w:r>
        <w:rPr>
          <w:color w:val="000000" w:themeColor="text1"/>
          <w14:textFill>
            <w14:solidFill>
              <w14:schemeClr w14:val="tx1"/>
            </w14:solidFill>
          </w14:textFill>
        </w:rPr>
        <w:t>三、法定代表人资格证明书</w:t>
      </w:r>
    </w:p>
    <w:p>
      <w:pPr>
        <w:spacing w:line="360" w:lineRule="auto"/>
        <w:rPr>
          <w:bCs/>
          <w:color w:val="000000" w:themeColor="text1"/>
          <w:sz w:val="24"/>
          <w14:textFill>
            <w14:solidFill>
              <w14:schemeClr w14:val="tx1"/>
            </w14:solidFill>
          </w14:textFill>
        </w:rPr>
      </w:pP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单位名称：</w:t>
      </w: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地址：</w:t>
      </w: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姓名：性别：年龄：职务：</w:t>
      </w:r>
    </w:p>
    <w:p>
      <w:pPr>
        <w:snapToGrid w:val="0"/>
        <w:ind w:firstLine="1080" w:firstLineChars="450"/>
        <w:rPr>
          <w:bCs/>
          <w:color w:val="000000" w:themeColor="text1"/>
          <w:sz w:val="24"/>
          <w:u w:val="single"/>
          <w14:textFill>
            <w14:solidFill>
              <w14:schemeClr w14:val="tx1"/>
            </w14:solidFill>
          </w14:textFill>
        </w:rPr>
      </w:pPr>
    </w:p>
    <w:p>
      <w:pPr>
        <w:snapToGrid w:val="0"/>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系的法定代表人。为维护的项目，签署上述项目的投标文件、进行合同投标、签署合同和处理与之有关的一切事务。</w:t>
      </w:r>
    </w:p>
    <w:p>
      <w:pPr>
        <w:snapToGrid w:val="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特此证明</w:t>
      </w:r>
    </w:p>
    <w:p>
      <w:pPr>
        <w:snapToGrid w:val="0"/>
        <w:rPr>
          <w:color w:val="000000" w:themeColor="text1"/>
          <w:sz w:val="24"/>
          <w14:textFill>
            <w14:solidFill>
              <w14:schemeClr w14:val="tx1"/>
            </w14:solidFill>
          </w14:textFill>
        </w:rPr>
      </w:pPr>
    </w:p>
    <w:p>
      <w:pPr>
        <w:snapToGrid w:val="0"/>
        <w:ind w:right="1273" w:rightChars="606" w:firstLine="5040" w:firstLineChars="21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供应商（盖章）：</w:t>
      </w:r>
    </w:p>
    <w:p>
      <w:pPr>
        <w:snapToGrid w:val="0"/>
        <w:ind w:right="-1" w:firstLine="5040" w:firstLineChars="2100"/>
        <w:jc w:val="righ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日期：</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w:t>
      </w:r>
    </w:p>
    <w:p>
      <w:pPr>
        <w:snapToGrid w:val="0"/>
        <w:ind w:firstLine="4080" w:firstLineChars="1700"/>
        <w:rPr>
          <w:bCs/>
          <w:color w:val="000000" w:themeColor="text1"/>
          <w:sz w:val="24"/>
          <w14:textFill>
            <w14:solidFill>
              <w14:schemeClr w14:val="tx1"/>
            </w14:solidFill>
          </w14:textFill>
        </w:rPr>
      </w:pPr>
    </w:p>
    <w:p>
      <w:pPr>
        <w:snapToGrid w:val="0"/>
        <w:ind w:left="735" w:hanging="735" w:hangingChars="35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说明：1. 本证明书要求投标人提供</w:t>
      </w:r>
      <w:r>
        <w:rPr>
          <w:b/>
          <w:bCs/>
          <w:color w:val="000000" w:themeColor="text1"/>
          <w:szCs w:val="21"/>
          <w14:textFill>
            <w14:solidFill>
              <w14:schemeClr w14:val="tx1"/>
            </w14:solidFill>
          </w14:textFill>
        </w:rPr>
        <w:t>加盖公章</w:t>
      </w:r>
      <w:r>
        <w:rPr>
          <w:bCs/>
          <w:color w:val="000000" w:themeColor="text1"/>
          <w:szCs w:val="21"/>
          <w14:textFill>
            <w14:solidFill>
              <w14:schemeClr w14:val="tx1"/>
            </w14:solidFill>
          </w14:textFill>
        </w:rPr>
        <w:t>后的原件方为有效。</w:t>
      </w:r>
    </w:p>
    <w:p>
      <w:pPr>
        <w:snapToGrid w:val="0"/>
        <w:ind w:left="823" w:leftChars="342" w:hanging="105" w:hangingChars="5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 须提供法定代表人的身份证复印件（附后）。</w:t>
      </w:r>
    </w:p>
    <w:p>
      <w:pPr>
        <w:spacing w:line="360" w:lineRule="auto"/>
        <w:rPr>
          <w:bCs/>
          <w:color w:val="000000" w:themeColor="text1"/>
          <w:sz w:val="24"/>
          <w14:textFill>
            <w14:solidFill>
              <w14:schemeClr w14:val="tx1"/>
            </w14:solidFill>
          </w14:textFill>
        </w:rPr>
      </w:pPr>
    </w:p>
    <w:p>
      <w:pPr>
        <w:pStyle w:val="3"/>
        <w:spacing w:before="120" w:after="120"/>
        <w:jc w:val="center"/>
        <w:rPr>
          <w:b w:val="0"/>
          <w:color w:val="000000" w:themeColor="text1"/>
          <w:sz w:val="28"/>
          <w14:textFill>
            <w14:solidFill>
              <w14:schemeClr w14:val="tx1"/>
            </w14:solidFill>
          </w14:textFill>
        </w:rPr>
      </w:pPr>
      <w:r>
        <w:rPr>
          <w:color w:val="000000" w:themeColor="text1"/>
          <w14:textFill>
            <w14:solidFill>
              <w14:schemeClr w14:val="tx1"/>
            </w14:solidFill>
          </w14:textFill>
        </w:rPr>
        <w:t>四、法定代表人授权书</w:t>
      </w:r>
    </w:p>
    <w:p>
      <w:pPr>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rFonts w:hint="eastAsia"/>
          <w:bCs/>
          <w:color w:val="000000" w:themeColor="text1"/>
          <w:sz w:val="24"/>
          <w14:textFill>
            <w14:solidFill>
              <w14:schemeClr w14:val="tx1"/>
            </w14:solidFill>
          </w14:textFill>
        </w:rPr>
        <w:t>哈尔滨工业大学（深圳）</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（投标人全称）</w:t>
      </w:r>
      <w:r>
        <w:rPr>
          <w:bCs/>
          <w:color w:val="000000" w:themeColor="text1"/>
          <w:sz w:val="24"/>
          <w14:textFill>
            <w14:solidFill>
              <w14:schemeClr w14:val="tx1"/>
            </w14:solidFill>
          </w14:textFill>
        </w:rPr>
        <w:t>法定代表人</w:t>
      </w:r>
      <w:r>
        <w:rPr>
          <w:bCs/>
          <w:color w:val="000000" w:themeColor="text1"/>
          <w:sz w:val="24"/>
          <w:u w:val="single"/>
          <w14:textFill>
            <w14:solidFill>
              <w14:schemeClr w14:val="tx1"/>
            </w14:solidFill>
          </w14:textFill>
        </w:rPr>
        <w:t>（姓名、职务）</w:t>
      </w:r>
      <w:r>
        <w:rPr>
          <w:bCs/>
          <w:color w:val="000000" w:themeColor="text1"/>
          <w:sz w:val="24"/>
          <w14:textFill>
            <w14:solidFill>
              <w14:schemeClr w14:val="tx1"/>
            </w14:solidFill>
          </w14:textFill>
        </w:rPr>
        <w:t>授权</w:t>
      </w:r>
      <w:r>
        <w:rPr>
          <w:bCs/>
          <w:color w:val="000000" w:themeColor="text1"/>
          <w:sz w:val="24"/>
          <w:u w:val="single"/>
          <w14:textFill>
            <w14:solidFill>
              <w14:schemeClr w14:val="tx1"/>
            </w14:solidFill>
          </w14:textFill>
        </w:rPr>
        <w:t>（被授权代表姓名、职务）</w:t>
      </w:r>
      <w:r>
        <w:rPr>
          <w:bCs/>
          <w:color w:val="000000" w:themeColor="text1"/>
          <w:sz w:val="24"/>
          <w14:textFill>
            <w14:solidFill>
              <w14:schemeClr w14:val="tx1"/>
            </w14:solidFill>
          </w14:textFill>
        </w:rPr>
        <w:t>为本公司合法代理人，参加贵</w:t>
      </w:r>
      <w:r>
        <w:rPr>
          <w:rFonts w:hint="eastAsia"/>
          <w:bCs/>
          <w:color w:val="000000" w:themeColor="text1"/>
          <w:sz w:val="24"/>
          <w14:textFill>
            <w14:solidFill>
              <w14:schemeClr w14:val="tx1"/>
            </w14:solidFill>
          </w14:textFill>
        </w:rPr>
        <w:t>处</w:t>
      </w:r>
      <w:r>
        <w:rPr>
          <w:bCs/>
          <w:color w:val="000000" w:themeColor="text1"/>
          <w:sz w:val="24"/>
          <w14:textFill>
            <w14:solidFill>
              <w14:schemeClr w14:val="tx1"/>
            </w14:solidFill>
          </w14:textFill>
        </w:rPr>
        <w:t>组织的</w:t>
      </w:r>
      <w:r>
        <w:rPr>
          <w:bCs/>
          <w:color w:val="000000" w:themeColor="text1"/>
          <w:sz w:val="24"/>
          <w:u w:val="single"/>
          <w14:textFill>
            <w14:solidFill>
              <w14:schemeClr w14:val="tx1"/>
            </w14:solidFill>
          </w14:textFill>
        </w:rPr>
        <w:t xml:space="preserve">   (项目名称)（项目编号）</w:t>
      </w:r>
      <w:r>
        <w:rPr>
          <w:bCs/>
          <w:color w:val="000000" w:themeColor="text1"/>
          <w:sz w:val="24"/>
          <w14:textFill>
            <w14:solidFill>
              <w14:schemeClr w14:val="tx1"/>
            </w14:solidFill>
          </w14:textFill>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本授权书于</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日签字生效，特此声明。</w:t>
      </w:r>
    </w:p>
    <w:p>
      <w:pPr>
        <w:rPr>
          <w:bCs/>
          <w:color w:val="000000" w:themeColor="text1"/>
          <w:sz w:val="24"/>
          <w14:textFill>
            <w14:solidFill>
              <w14:schemeClr w14:val="tx1"/>
            </w14:solidFill>
          </w14:textFill>
        </w:rPr>
      </w:pP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被授权人：职务：</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联系电话：手机：</w:t>
      </w:r>
    </w:p>
    <w:p>
      <w:pPr>
        <w:ind w:firstLine="120" w:firstLineChars="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身份证号码：</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投标人（盖章）：</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法定代表人（签名）：</w:t>
      </w:r>
    </w:p>
    <w:p>
      <w:pPr>
        <w:ind w:firstLine="120" w:firstLineChars="5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被授权人（签名）：</w:t>
      </w:r>
    </w:p>
    <w:p>
      <w:pPr>
        <w:rPr>
          <w:bCs/>
          <w:color w:val="000000" w:themeColor="text1"/>
          <w:sz w:val="24"/>
          <w14:textFill>
            <w14:solidFill>
              <w14:schemeClr w14:val="tx1"/>
            </w14:solidFill>
          </w14:textFill>
        </w:rPr>
      </w:pP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说明：1.本授权委托书要求投标人提供有</w:t>
      </w:r>
      <w:r>
        <w:rPr>
          <w:b/>
          <w:bCs/>
          <w:color w:val="000000" w:themeColor="text1"/>
          <w:szCs w:val="21"/>
          <w14:textFill>
            <w14:solidFill>
              <w14:schemeClr w14:val="tx1"/>
            </w14:solidFill>
          </w14:textFill>
        </w:rPr>
        <w:t>代理人签字、法定代表人的签字（或盖私章）和加盖公章</w:t>
      </w:r>
      <w:r>
        <w:rPr>
          <w:bCs/>
          <w:color w:val="000000" w:themeColor="text1"/>
          <w:szCs w:val="21"/>
          <w14:textFill>
            <w14:solidFill>
              <w14:schemeClr w14:val="tx1"/>
            </w14:solidFill>
          </w14:textFill>
        </w:rPr>
        <w:t>后的原件方为有效；</w:t>
      </w:r>
    </w:p>
    <w:p>
      <w:pPr>
        <w:ind w:firstLine="630" w:firstLineChars="3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2.提供代理人的身份证复印件（附后）。</w:t>
      </w:r>
    </w:p>
    <w:p>
      <w:pPr>
        <w:pStyle w:val="3"/>
        <w:spacing w:before="120" w:after="120"/>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五、投标函</w:t>
      </w:r>
    </w:p>
    <w:p>
      <w:pPr>
        <w:pStyle w:val="5"/>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投标函</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致：</w:t>
      </w:r>
      <w:r>
        <w:rPr>
          <w:rFonts w:hint="eastAsia"/>
          <w:color w:val="000000" w:themeColor="text1"/>
          <w:szCs w:val="21"/>
          <w14:textFill>
            <w14:solidFill>
              <w14:schemeClr w14:val="tx1"/>
            </w14:solidFill>
          </w14:textFill>
        </w:rPr>
        <w:t>哈尔滨工业大学（深圳）</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根据贵方</w:t>
      </w:r>
      <w:r>
        <w:rPr>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的招标公告</w:t>
      </w:r>
      <w:r>
        <w:rPr>
          <w:color w:val="000000" w:themeColor="text1"/>
          <w:szCs w:val="21"/>
          <w:u w:val="single"/>
          <w14:textFill>
            <w14:solidFill>
              <w14:schemeClr w14:val="tx1"/>
            </w14:solidFill>
          </w14:textFill>
        </w:rPr>
        <w:t>（项目编号为）</w:t>
      </w:r>
      <w:r>
        <w:rPr>
          <w:color w:val="000000" w:themeColor="text1"/>
          <w:szCs w:val="21"/>
          <w14:textFill>
            <w14:solidFill>
              <w14:schemeClr w14:val="tx1"/>
            </w14:solidFill>
          </w14:textFill>
        </w:rPr>
        <w:t>，本人经我方法定代表人授权正式代表投标人（投标人的名称），提交唱标信封1份及投标文件正本</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份，</w:t>
      </w:r>
      <w:r>
        <w:rPr>
          <w:color w:val="000000" w:themeColor="text1"/>
          <w:kern w:val="0"/>
          <w:szCs w:val="21"/>
          <w14:textFill>
            <w14:solidFill>
              <w14:schemeClr w14:val="tx1"/>
            </w14:solidFill>
          </w14:textFill>
        </w:rPr>
        <w:t>附有投标文件电子文档的光盘</w:t>
      </w:r>
      <w:r>
        <w:rPr>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据此函，本人代表投标方保证，所提供的全部资料是真实的。本人承诺：</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（1）我方愿以开标一览表中的投标报价并按招标文件要求承包上述项目并修补其任何缺陷；</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（2）我方承担根据招标文件的规定，完成合同的责任和义务。</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（3）我方已详细阅读了全部招标文件，包括招标文件修改书（如果有的话），参考资料及有关附件，我们完全理解并同意放弃对这方面有不清楚或误解的问题和质疑投诉的权利。</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（4）我方同意所递交的投标文件在“关键信息-项目信息”规定的投标有效期内有效，在此期间内我方的投标有可能中标，我方将受此约束。如果在投标有效期内撤回其投标，</w:t>
      </w:r>
      <w:r>
        <w:rPr>
          <w:rFonts w:hint="eastAsia"/>
          <w:color w:val="000000" w:themeColor="text1"/>
          <w:szCs w:val="21"/>
          <w14:textFill>
            <w14:solidFill>
              <w14:schemeClr w14:val="tx1"/>
            </w14:solidFill>
          </w14:textFill>
        </w:rPr>
        <w:t>一切责任由我方承担</w:t>
      </w:r>
      <w:r>
        <w:rPr>
          <w:color w:val="000000" w:themeColor="text1"/>
          <w:szCs w:val="21"/>
          <w14:textFill>
            <w14:solidFill>
              <w14:schemeClr w14:val="tx1"/>
            </w14:solidFill>
          </w14:textFill>
        </w:rPr>
        <w:t>。</w:t>
      </w:r>
    </w:p>
    <w:p>
      <w:pPr>
        <w:spacing w:after="156" w:after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（5）除非另外达成协议并生效，贵方的中标通知书和本投标文件将构成约束我们双方的合同。</w:t>
      </w:r>
    </w:p>
    <w:p>
      <w:pPr>
        <w:spacing w:after="156" w:after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（6）同意向贵方提供贵方可能要求的与本投标有关的任何证据或资料。</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（7）我方完全理解贵方不一定要接受最低报价的投标或收到的任何投标。</w:t>
      </w:r>
    </w:p>
    <w:p>
      <w:pPr>
        <w:ind w:firstLine="420" w:firstLineChars="200"/>
        <w:rPr>
          <w:color w:val="000000" w:themeColor="text1"/>
          <w:szCs w:val="21"/>
          <w:u w:val="single"/>
          <w14:textFill>
            <w14:solidFill>
              <w14:schemeClr w14:val="tx1"/>
            </w14:solidFill>
          </w14:textFill>
        </w:rPr>
      </w:pPr>
    </w:p>
    <w:p>
      <w:pPr>
        <w:ind w:firstLine="5075" w:firstLineChars="2417"/>
        <w:rPr>
          <w:color w:val="000000" w:themeColor="text1"/>
          <w:szCs w:val="21"/>
          <w14:textFill>
            <w14:solidFill>
              <w14:schemeClr w14:val="tx1"/>
            </w14:solidFill>
          </w14:textFill>
        </w:rPr>
      </w:pP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与本投标有关的正式通信方式：</w:t>
      </w:r>
    </w:p>
    <w:p>
      <w:pPr>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地址：邮政编码：</w:t>
      </w:r>
    </w:p>
    <w:p>
      <w:pPr>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电话、手机、传真或电传：</w:t>
      </w:r>
    </w:p>
    <w:p>
      <w:pPr>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开户银行名称：开户银行</w:t>
      </w:r>
      <w:r>
        <w:rPr>
          <w:rFonts w:hint="eastAsia"/>
          <w:color w:val="000000" w:themeColor="text1"/>
          <w:szCs w:val="21"/>
          <w:lang w:eastAsia="zh-CN"/>
          <w14:textFill>
            <w14:solidFill>
              <w14:schemeClr w14:val="tx1"/>
            </w14:solidFill>
          </w14:textFill>
        </w:rPr>
        <w:t>账号</w:t>
      </w:r>
      <w:r>
        <w:rPr>
          <w:color w:val="000000" w:themeColor="text1"/>
          <w:szCs w:val="21"/>
          <w14:textFill>
            <w14:solidFill>
              <w14:schemeClr w14:val="tx1"/>
            </w14:solidFill>
          </w14:textFill>
        </w:rPr>
        <w:t>：</w:t>
      </w:r>
    </w:p>
    <w:p>
      <w:pPr>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开户银行地址：开户银行电话：</w:t>
      </w:r>
    </w:p>
    <w:p>
      <w:pPr>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投标人代表姓名（签字）：</w:t>
      </w:r>
    </w:p>
    <w:p>
      <w:pPr>
        <w:ind w:firstLine="5075" w:firstLineChars="2417"/>
        <w:rPr>
          <w:color w:val="000000" w:themeColor="text1"/>
          <w:szCs w:val="21"/>
          <w14:textFill>
            <w14:solidFill>
              <w14:schemeClr w14:val="tx1"/>
            </w14:solidFill>
          </w14:textFill>
        </w:rPr>
      </w:pPr>
    </w:p>
    <w:p>
      <w:pPr>
        <w:ind w:right="1273" w:rightChars="606" w:firstLine="6125" w:firstLineChars="2917"/>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公章：</w:t>
      </w:r>
    </w:p>
    <w:p>
      <w:pPr>
        <w:ind w:right="1273" w:rightChars="606" w:firstLine="6125" w:firstLineChars="2917"/>
        <w:jc w:val="right"/>
        <w:rPr>
          <w:color w:val="000000" w:themeColor="text1"/>
          <w:szCs w:val="21"/>
          <w14:textFill>
            <w14:solidFill>
              <w14:schemeClr w14:val="tx1"/>
            </w14:solidFill>
          </w14:textFill>
        </w:rPr>
      </w:pPr>
    </w:p>
    <w:p>
      <w:pPr>
        <w:ind w:right="-1" w:firstLine="6125" w:firstLineChars="2917"/>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月</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日</w:t>
      </w:r>
    </w:p>
    <w:p>
      <w:pPr>
        <w:rPr>
          <w:color w:val="000000" w:themeColor="text1"/>
          <w14:textFill>
            <w14:solidFill>
              <w14:schemeClr w14:val="tx1"/>
            </w14:solidFill>
          </w14:textFill>
        </w:rPr>
      </w:pPr>
      <w:r>
        <w:rPr>
          <w:color w:val="000000" w:themeColor="text1"/>
          <w:szCs w:val="21"/>
          <w14:textFill>
            <w14:solidFill>
              <w14:schemeClr w14:val="tx1"/>
            </w14:solidFill>
          </w14:textFill>
        </w:rPr>
        <w:br w:type="page"/>
      </w:r>
    </w:p>
    <w:p>
      <w:pPr>
        <w:pStyle w:val="3"/>
        <w:spacing w:before="120" w:after="120"/>
        <w:jc w:val="center"/>
        <w:rPr>
          <w:bCs w:val="0"/>
          <w:color w:val="000000" w:themeColor="text1"/>
          <w:sz w:val="24"/>
          <w14:textFill>
            <w14:solidFill>
              <w14:schemeClr w14:val="tx1"/>
            </w14:solidFill>
          </w14:textFill>
        </w:rPr>
      </w:pPr>
      <w:r>
        <w:rPr>
          <w:color w:val="000000" w:themeColor="text1"/>
          <w14:textFill>
            <w14:solidFill>
              <w14:schemeClr w14:val="tx1"/>
            </w14:solidFill>
          </w14:textFill>
        </w:rPr>
        <w:t>六、分项报价清单表</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（一）项目报价表</w:t>
      </w:r>
    </w:p>
    <w:tbl>
      <w:tblPr>
        <w:tblStyle w:val="24"/>
        <w:tblW w:w="9540"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20"/>
        <w:gridCol w:w="3420"/>
        <w:gridCol w:w="1620"/>
        <w:gridCol w:w="162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trPr>
        <w:tc>
          <w:tcPr>
            <w:tcW w:w="720" w:type="dxa"/>
            <w:vAlign w:val="center"/>
          </w:tcPr>
          <w:p>
            <w:pPr>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序号</w:t>
            </w:r>
          </w:p>
        </w:tc>
        <w:tc>
          <w:tcPr>
            <w:tcW w:w="3420" w:type="dxa"/>
            <w:vAlign w:val="center"/>
          </w:tcPr>
          <w:p>
            <w:pPr>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项目内容</w:t>
            </w:r>
          </w:p>
        </w:tc>
        <w:tc>
          <w:tcPr>
            <w:tcW w:w="1620" w:type="dxa"/>
            <w:vAlign w:val="center"/>
          </w:tcPr>
          <w:p>
            <w:pPr>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单价（元）</w:t>
            </w:r>
          </w:p>
        </w:tc>
        <w:tc>
          <w:tcPr>
            <w:tcW w:w="1620" w:type="dxa"/>
            <w:tcBorders>
              <w:right w:val="single" w:color="auto" w:sz="4" w:space="0"/>
            </w:tcBorders>
            <w:vAlign w:val="center"/>
          </w:tcPr>
          <w:p>
            <w:pPr>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总价（元）</w:t>
            </w:r>
          </w:p>
        </w:tc>
        <w:tc>
          <w:tcPr>
            <w:tcW w:w="2160" w:type="dxa"/>
            <w:tcBorders>
              <w:left w:val="single" w:color="auto" w:sz="4" w:space="0"/>
            </w:tcBorders>
            <w:vAlign w:val="center"/>
          </w:tcPr>
          <w:p>
            <w:pPr>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trPr>
        <w:tc>
          <w:tcPr>
            <w:tcW w:w="7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420" w:type="dxa"/>
            <w:vAlign w:val="center"/>
          </w:tcPr>
          <w:p>
            <w:pPr>
              <w:rPr>
                <w:color w:val="000000" w:themeColor="text1"/>
                <w:szCs w:val="21"/>
                <w14:textFill>
                  <w14:solidFill>
                    <w14:schemeClr w14:val="tx1"/>
                  </w14:solidFill>
                </w14:textFill>
              </w:rPr>
            </w:pPr>
          </w:p>
        </w:tc>
        <w:tc>
          <w:tcPr>
            <w:tcW w:w="1620" w:type="dxa"/>
            <w:vAlign w:val="center"/>
          </w:tcPr>
          <w:p>
            <w:pPr>
              <w:rPr>
                <w:color w:val="000000" w:themeColor="text1"/>
                <w:szCs w:val="21"/>
                <w14:textFill>
                  <w14:solidFill>
                    <w14:schemeClr w14:val="tx1"/>
                  </w14:solidFill>
                </w14:textFill>
              </w:rPr>
            </w:pPr>
          </w:p>
        </w:tc>
        <w:tc>
          <w:tcPr>
            <w:tcW w:w="1620" w:type="dxa"/>
            <w:tcBorders>
              <w:right w:val="single" w:color="auto" w:sz="4" w:space="0"/>
            </w:tcBorders>
            <w:vAlign w:val="center"/>
          </w:tcPr>
          <w:p>
            <w:pPr>
              <w:rPr>
                <w:color w:val="000000" w:themeColor="text1"/>
                <w:szCs w:val="21"/>
                <w14:textFill>
                  <w14:solidFill>
                    <w14:schemeClr w14:val="tx1"/>
                  </w14:solidFill>
                </w14:textFill>
              </w:rPr>
            </w:pPr>
          </w:p>
        </w:tc>
        <w:tc>
          <w:tcPr>
            <w:tcW w:w="2160" w:type="dxa"/>
            <w:tcBorders>
              <w:left w:val="single" w:color="auto" w:sz="4" w:space="0"/>
            </w:tcBorders>
            <w:vAlign w:val="center"/>
          </w:tcPr>
          <w:p>
            <w:pP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420" w:type="dxa"/>
            <w:vAlign w:val="center"/>
          </w:tcPr>
          <w:p>
            <w:pPr>
              <w:rPr>
                <w:color w:val="000000" w:themeColor="text1"/>
                <w:szCs w:val="21"/>
                <w14:textFill>
                  <w14:solidFill>
                    <w14:schemeClr w14:val="tx1"/>
                  </w14:solidFill>
                </w14:textFill>
              </w:rPr>
            </w:pPr>
          </w:p>
        </w:tc>
        <w:tc>
          <w:tcPr>
            <w:tcW w:w="1620" w:type="dxa"/>
            <w:vAlign w:val="center"/>
          </w:tcPr>
          <w:p>
            <w:pPr>
              <w:rPr>
                <w:color w:val="000000" w:themeColor="text1"/>
                <w:szCs w:val="21"/>
                <w14:textFill>
                  <w14:solidFill>
                    <w14:schemeClr w14:val="tx1"/>
                  </w14:solidFill>
                </w14:textFill>
              </w:rPr>
            </w:pPr>
          </w:p>
        </w:tc>
        <w:tc>
          <w:tcPr>
            <w:tcW w:w="1620" w:type="dxa"/>
            <w:tcBorders>
              <w:right w:val="single" w:color="auto" w:sz="4" w:space="0"/>
            </w:tcBorders>
            <w:vAlign w:val="center"/>
          </w:tcPr>
          <w:p>
            <w:pPr>
              <w:rPr>
                <w:color w:val="000000" w:themeColor="text1"/>
                <w:szCs w:val="21"/>
                <w14:textFill>
                  <w14:solidFill>
                    <w14:schemeClr w14:val="tx1"/>
                  </w14:solidFill>
                </w14:textFill>
              </w:rPr>
            </w:pPr>
          </w:p>
        </w:tc>
        <w:tc>
          <w:tcPr>
            <w:tcW w:w="2160" w:type="dxa"/>
            <w:tcBorders>
              <w:left w:val="single" w:color="auto" w:sz="4" w:space="0"/>
            </w:tcBorders>
            <w:vAlign w:val="center"/>
          </w:tcPr>
          <w:p>
            <w:pP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420" w:type="dxa"/>
            <w:vAlign w:val="center"/>
          </w:tcPr>
          <w:p>
            <w:pPr>
              <w:rPr>
                <w:color w:val="000000" w:themeColor="text1"/>
                <w:szCs w:val="21"/>
                <w14:textFill>
                  <w14:solidFill>
                    <w14:schemeClr w14:val="tx1"/>
                  </w14:solidFill>
                </w14:textFill>
              </w:rPr>
            </w:pPr>
          </w:p>
        </w:tc>
        <w:tc>
          <w:tcPr>
            <w:tcW w:w="1620" w:type="dxa"/>
            <w:vAlign w:val="center"/>
          </w:tcPr>
          <w:p>
            <w:pPr>
              <w:rPr>
                <w:color w:val="000000" w:themeColor="text1"/>
                <w:szCs w:val="21"/>
                <w14:textFill>
                  <w14:solidFill>
                    <w14:schemeClr w14:val="tx1"/>
                  </w14:solidFill>
                </w14:textFill>
              </w:rPr>
            </w:pPr>
          </w:p>
        </w:tc>
        <w:tc>
          <w:tcPr>
            <w:tcW w:w="1620" w:type="dxa"/>
            <w:tcBorders>
              <w:right w:val="single" w:color="auto" w:sz="4" w:space="0"/>
            </w:tcBorders>
            <w:vAlign w:val="center"/>
          </w:tcPr>
          <w:p>
            <w:pPr>
              <w:rPr>
                <w:color w:val="000000" w:themeColor="text1"/>
                <w:szCs w:val="21"/>
                <w14:textFill>
                  <w14:solidFill>
                    <w14:schemeClr w14:val="tx1"/>
                  </w14:solidFill>
                </w14:textFill>
              </w:rPr>
            </w:pPr>
          </w:p>
        </w:tc>
        <w:tc>
          <w:tcPr>
            <w:tcW w:w="2160" w:type="dxa"/>
            <w:tcBorders>
              <w:left w:val="single" w:color="auto" w:sz="4" w:space="0"/>
            </w:tcBorders>
            <w:vAlign w:val="center"/>
          </w:tcPr>
          <w:p>
            <w:pP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420" w:type="dxa"/>
            <w:vAlign w:val="center"/>
          </w:tcPr>
          <w:p>
            <w:pPr>
              <w:rPr>
                <w:color w:val="000000" w:themeColor="text1"/>
                <w:szCs w:val="21"/>
                <w14:textFill>
                  <w14:solidFill>
                    <w14:schemeClr w14:val="tx1"/>
                  </w14:solidFill>
                </w14:textFill>
              </w:rPr>
            </w:pPr>
          </w:p>
        </w:tc>
        <w:tc>
          <w:tcPr>
            <w:tcW w:w="1620" w:type="dxa"/>
            <w:vAlign w:val="center"/>
          </w:tcPr>
          <w:p>
            <w:pPr>
              <w:rPr>
                <w:color w:val="000000" w:themeColor="text1"/>
                <w:szCs w:val="21"/>
                <w14:textFill>
                  <w14:solidFill>
                    <w14:schemeClr w14:val="tx1"/>
                  </w14:solidFill>
                </w14:textFill>
              </w:rPr>
            </w:pPr>
          </w:p>
        </w:tc>
        <w:tc>
          <w:tcPr>
            <w:tcW w:w="1620" w:type="dxa"/>
            <w:tcBorders>
              <w:right w:val="single" w:color="auto" w:sz="4" w:space="0"/>
            </w:tcBorders>
            <w:vAlign w:val="center"/>
          </w:tcPr>
          <w:p>
            <w:pPr>
              <w:rPr>
                <w:color w:val="000000" w:themeColor="text1"/>
                <w:szCs w:val="21"/>
                <w14:textFill>
                  <w14:solidFill>
                    <w14:schemeClr w14:val="tx1"/>
                  </w14:solidFill>
                </w14:textFill>
              </w:rPr>
            </w:pPr>
          </w:p>
        </w:tc>
        <w:tc>
          <w:tcPr>
            <w:tcW w:w="2160" w:type="dxa"/>
            <w:tcBorders>
              <w:left w:val="single" w:color="auto" w:sz="4" w:space="0"/>
            </w:tcBorders>
            <w:vAlign w:val="center"/>
          </w:tcPr>
          <w:p>
            <w:pP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trPr>
        <w:tc>
          <w:tcPr>
            <w:tcW w:w="7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3420" w:type="dxa"/>
            <w:vAlign w:val="center"/>
          </w:tcPr>
          <w:p>
            <w:pPr>
              <w:rPr>
                <w:color w:val="000000" w:themeColor="text1"/>
                <w:szCs w:val="21"/>
                <w14:textFill>
                  <w14:solidFill>
                    <w14:schemeClr w14:val="tx1"/>
                  </w14:solidFill>
                </w14:textFill>
              </w:rPr>
            </w:pPr>
          </w:p>
        </w:tc>
        <w:tc>
          <w:tcPr>
            <w:tcW w:w="1620" w:type="dxa"/>
            <w:vAlign w:val="center"/>
          </w:tcPr>
          <w:p>
            <w:pPr>
              <w:rPr>
                <w:color w:val="000000" w:themeColor="text1"/>
                <w:szCs w:val="21"/>
                <w14:textFill>
                  <w14:solidFill>
                    <w14:schemeClr w14:val="tx1"/>
                  </w14:solidFill>
                </w14:textFill>
              </w:rPr>
            </w:pPr>
          </w:p>
        </w:tc>
        <w:tc>
          <w:tcPr>
            <w:tcW w:w="1620" w:type="dxa"/>
            <w:tcBorders>
              <w:right w:val="single" w:color="auto" w:sz="4" w:space="0"/>
            </w:tcBorders>
            <w:vAlign w:val="center"/>
          </w:tcPr>
          <w:p>
            <w:pPr>
              <w:rPr>
                <w:color w:val="000000" w:themeColor="text1"/>
                <w:szCs w:val="21"/>
                <w14:textFill>
                  <w14:solidFill>
                    <w14:schemeClr w14:val="tx1"/>
                  </w14:solidFill>
                </w14:textFill>
              </w:rPr>
            </w:pPr>
          </w:p>
        </w:tc>
        <w:tc>
          <w:tcPr>
            <w:tcW w:w="2160" w:type="dxa"/>
            <w:tcBorders>
              <w:left w:val="single" w:color="auto" w:sz="4" w:space="0"/>
            </w:tcBorders>
            <w:vAlign w:val="center"/>
          </w:tcPr>
          <w:p>
            <w:pP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7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3420" w:type="dxa"/>
            <w:vAlign w:val="center"/>
          </w:tcPr>
          <w:p>
            <w:pPr>
              <w:rPr>
                <w:color w:val="000000" w:themeColor="text1"/>
                <w:szCs w:val="21"/>
                <w14:textFill>
                  <w14:solidFill>
                    <w14:schemeClr w14:val="tx1"/>
                  </w14:solidFill>
                </w14:textFill>
              </w:rPr>
            </w:pPr>
          </w:p>
        </w:tc>
        <w:tc>
          <w:tcPr>
            <w:tcW w:w="1620" w:type="dxa"/>
            <w:vAlign w:val="center"/>
          </w:tcPr>
          <w:p>
            <w:pPr>
              <w:rPr>
                <w:color w:val="000000" w:themeColor="text1"/>
                <w:szCs w:val="21"/>
                <w14:textFill>
                  <w14:solidFill>
                    <w14:schemeClr w14:val="tx1"/>
                  </w14:solidFill>
                </w14:textFill>
              </w:rPr>
            </w:pPr>
          </w:p>
        </w:tc>
        <w:tc>
          <w:tcPr>
            <w:tcW w:w="1620" w:type="dxa"/>
            <w:tcBorders>
              <w:right w:val="single" w:color="auto" w:sz="4" w:space="0"/>
            </w:tcBorders>
            <w:vAlign w:val="center"/>
          </w:tcPr>
          <w:p>
            <w:pPr>
              <w:rPr>
                <w:color w:val="000000" w:themeColor="text1"/>
                <w:szCs w:val="21"/>
                <w14:textFill>
                  <w14:solidFill>
                    <w14:schemeClr w14:val="tx1"/>
                  </w14:solidFill>
                </w14:textFill>
              </w:rPr>
            </w:pPr>
          </w:p>
        </w:tc>
        <w:tc>
          <w:tcPr>
            <w:tcW w:w="2160" w:type="dxa"/>
            <w:tcBorders>
              <w:left w:val="single" w:color="auto" w:sz="4" w:space="0"/>
            </w:tcBorders>
            <w:vAlign w:val="center"/>
          </w:tcPr>
          <w:p>
            <w:pP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7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420" w:type="dxa"/>
            <w:vAlign w:val="center"/>
          </w:tcPr>
          <w:p>
            <w:pPr>
              <w:rPr>
                <w:color w:val="000000" w:themeColor="text1"/>
                <w:szCs w:val="21"/>
                <w14:textFill>
                  <w14:solidFill>
                    <w14:schemeClr w14:val="tx1"/>
                  </w14:solidFill>
                </w14:textFill>
              </w:rPr>
            </w:pPr>
          </w:p>
        </w:tc>
        <w:tc>
          <w:tcPr>
            <w:tcW w:w="1620" w:type="dxa"/>
            <w:vAlign w:val="center"/>
          </w:tcPr>
          <w:p>
            <w:pPr>
              <w:rPr>
                <w:color w:val="000000" w:themeColor="text1"/>
                <w:szCs w:val="21"/>
                <w14:textFill>
                  <w14:solidFill>
                    <w14:schemeClr w14:val="tx1"/>
                  </w14:solidFill>
                </w14:textFill>
              </w:rPr>
            </w:pPr>
          </w:p>
        </w:tc>
        <w:tc>
          <w:tcPr>
            <w:tcW w:w="1620" w:type="dxa"/>
            <w:tcBorders>
              <w:right w:val="single" w:color="auto" w:sz="4" w:space="0"/>
            </w:tcBorders>
            <w:vAlign w:val="center"/>
          </w:tcPr>
          <w:p>
            <w:pPr>
              <w:rPr>
                <w:color w:val="000000" w:themeColor="text1"/>
                <w:szCs w:val="21"/>
                <w14:textFill>
                  <w14:solidFill>
                    <w14:schemeClr w14:val="tx1"/>
                  </w14:solidFill>
                </w14:textFill>
              </w:rPr>
            </w:pPr>
          </w:p>
        </w:tc>
        <w:tc>
          <w:tcPr>
            <w:tcW w:w="2160" w:type="dxa"/>
            <w:tcBorders>
              <w:left w:val="single" w:color="auto" w:sz="4" w:space="0"/>
            </w:tcBorders>
            <w:vAlign w:val="center"/>
          </w:tcPr>
          <w:p>
            <w:pP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trPr>
        <w:tc>
          <w:tcPr>
            <w:tcW w:w="5760" w:type="dxa"/>
            <w:gridSpan w:val="3"/>
            <w:vAlign w:val="center"/>
          </w:tcPr>
          <w:p>
            <w:pP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投标总价</w:t>
            </w:r>
          </w:p>
        </w:tc>
        <w:tc>
          <w:tcPr>
            <w:tcW w:w="1620" w:type="dxa"/>
            <w:tcBorders>
              <w:right w:val="single" w:color="auto" w:sz="4" w:space="0"/>
            </w:tcBorders>
            <w:vAlign w:val="center"/>
          </w:tcPr>
          <w:p>
            <w:pPr>
              <w:rPr>
                <w:rFonts w:eastAsia="黑体"/>
                <w:color w:val="000000" w:themeColor="text1"/>
                <w:szCs w:val="21"/>
                <w14:textFill>
                  <w14:solidFill>
                    <w14:schemeClr w14:val="tx1"/>
                  </w14:solidFill>
                </w14:textFill>
              </w:rPr>
            </w:pPr>
          </w:p>
        </w:tc>
        <w:tc>
          <w:tcPr>
            <w:tcW w:w="2160" w:type="dxa"/>
            <w:tcBorders>
              <w:left w:val="single" w:color="auto" w:sz="4" w:space="0"/>
            </w:tcBorders>
            <w:vAlign w:val="center"/>
          </w:tcPr>
          <w:p>
            <w:pPr>
              <w:rPr>
                <w:rFonts w:eastAsia="黑体"/>
                <w:color w:val="000000" w:themeColor="text1"/>
                <w:szCs w:val="21"/>
                <w14:textFill>
                  <w14:solidFill>
                    <w14:schemeClr w14:val="tx1"/>
                  </w14:solidFill>
                </w14:textFill>
              </w:rPr>
            </w:pPr>
          </w:p>
        </w:tc>
      </w:tr>
    </w:tbl>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供应商代表姓名：</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注：1、所有价格应按“招标文件”中规定的货币单位填写；</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2、投标总价应为以上各分项价格之和；</w:t>
      </w:r>
    </w:p>
    <w:p>
      <w:pPr>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3、本表格仅为指导性范本，供应商应根据项目具体情况对各分项内容进行调整提供详细分项报价</w:t>
      </w:r>
    </w:p>
    <w:p>
      <w:pPr>
        <w:pStyle w:val="3"/>
        <w:spacing w:before="120" w:after="120"/>
        <w:jc w:val="center"/>
        <w:rPr>
          <w:bCs w:val="0"/>
          <w:color w:val="000000" w:themeColor="text1"/>
          <w:sz w:val="24"/>
          <w14:textFill>
            <w14:solidFill>
              <w14:schemeClr w14:val="tx1"/>
            </w14:solidFill>
          </w14:textFill>
        </w:rPr>
      </w:pPr>
      <w:r>
        <w:rPr>
          <w:color w:val="000000" w:themeColor="text1"/>
          <w:sz w:val="24"/>
          <w:szCs w:val="24"/>
          <w14:textFill>
            <w14:solidFill>
              <w14:schemeClr w14:val="tx1"/>
            </w14:solidFill>
          </w14:textFill>
        </w:rPr>
        <w:br w:type="page"/>
      </w:r>
      <w:r>
        <w:rPr>
          <w:color w:val="000000" w:themeColor="text1"/>
          <w14:textFill>
            <w14:solidFill>
              <w14:schemeClr w14:val="tx1"/>
            </w14:solidFill>
          </w14:textFill>
        </w:rPr>
        <w:t>七、供应商情况介绍</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（一）供应商一览表</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0"/>
        <w:gridCol w:w="3322"/>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w:t>
            </w:r>
          </w:p>
        </w:tc>
        <w:tc>
          <w:tcPr>
            <w:tcW w:w="3322"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内容及说明</w:t>
            </w:r>
          </w:p>
        </w:tc>
        <w:tc>
          <w:tcPr>
            <w:tcW w:w="2464"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Merge w:val="restart"/>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w:t>
            </w: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营业执照</w:t>
            </w:r>
          </w:p>
        </w:tc>
        <w:tc>
          <w:tcPr>
            <w:tcW w:w="3322" w:type="dxa"/>
            <w:shd w:val="clear" w:color="auto" w:fill="auto"/>
          </w:tcPr>
          <w:p>
            <w:pPr>
              <w:adjustRightInd w:val="0"/>
              <w:snapToGrid w:val="0"/>
              <w:spacing w:line="360" w:lineRule="auto"/>
              <w:rPr>
                <w:bCs/>
                <w:color w:val="000000" w:themeColor="text1"/>
                <w:sz w:val="24"/>
                <w14:textFill>
                  <w14:solidFill>
                    <w14:schemeClr w14:val="tx1"/>
                  </w14:solidFill>
                </w14:textFill>
              </w:rPr>
            </w:pPr>
          </w:p>
        </w:tc>
        <w:tc>
          <w:tcPr>
            <w:tcW w:w="2464" w:type="dxa"/>
            <w:vMerge w:val="restart"/>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1.注册年度及注册编号</w:t>
            </w:r>
          </w:p>
        </w:tc>
        <w:tc>
          <w:tcPr>
            <w:tcW w:w="3322" w:type="dxa"/>
            <w:shd w:val="clear" w:color="auto" w:fill="auto"/>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2.注册资金（万元）：</w:t>
            </w:r>
          </w:p>
        </w:tc>
        <w:tc>
          <w:tcPr>
            <w:tcW w:w="3322" w:type="dxa"/>
            <w:shd w:val="clear" w:color="auto" w:fill="auto"/>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3.经营场所：</w:t>
            </w:r>
          </w:p>
        </w:tc>
        <w:tc>
          <w:tcPr>
            <w:tcW w:w="3322" w:type="dxa"/>
            <w:shd w:val="clear" w:color="auto" w:fill="auto"/>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4.有效期</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w:t>
            </w:r>
          </w:p>
        </w:tc>
        <w:tc>
          <w:tcPr>
            <w:tcW w:w="3322" w:type="dxa"/>
            <w:shd w:val="clear" w:color="auto" w:fill="auto"/>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w:t>
            </w: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税务登记证</w:t>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vMerge w:val="restart"/>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1.税务登记证编号：</w:t>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w:t>
            </w:r>
            <w:r>
              <w:rPr>
                <w:bCs/>
                <w:color w:val="000000" w:themeColor="text1"/>
                <w:sz w:val="24"/>
                <w14:textFill>
                  <w14:solidFill>
                    <w14:schemeClr w14:val="tx1"/>
                  </w14:solidFill>
                </w14:textFill>
              </w:rPr>
              <w:tab/>
            </w: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其他资格（质）证书</w:t>
            </w:r>
          </w:p>
        </w:tc>
        <w:tc>
          <w:tcPr>
            <w:tcW w:w="3322"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（若有其他资质证书，可按表格格式扩展</w:t>
            </w:r>
          </w:p>
        </w:tc>
        <w:tc>
          <w:tcPr>
            <w:tcW w:w="2464" w:type="dxa"/>
            <w:vMerge w:val="restart"/>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提供复印件</w:t>
            </w:r>
          </w:p>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1.证书名称</w:t>
            </w:r>
            <w:r>
              <w:rPr>
                <w:bCs/>
                <w:color w:val="000000" w:themeColor="text1"/>
                <w:sz w:val="24"/>
                <w14:textFill>
                  <w14:solidFill>
                    <w14:schemeClr w14:val="tx1"/>
                  </w14:solidFill>
                </w14:textFill>
              </w:rPr>
              <w:tab/>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2.批准单位</w:t>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3.等级</w:t>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4.批准时间及编号</w:t>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5.有效期</w:t>
            </w:r>
            <w:r>
              <w:rPr>
                <w:bCs/>
                <w:color w:val="000000" w:themeColor="text1"/>
                <w:sz w:val="24"/>
                <w14:textFill>
                  <w14:solidFill>
                    <w14:schemeClr w14:val="tx1"/>
                  </w14:solidFill>
                </w14:textFill>
              </w:rPr>
              <w:tab/>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vMerge w:val="continue"/>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w:t>
            </w: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w:t>
            </w:r>
          </w:p>
        </w:tc>
        <w:tc>
          <w:tcPr>
            <w:tcW w:w="3322"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投标人认为需补充的其他说明</w:t>
            </w:r>
          </w:p>
        </w:tc>
        <w:tc>
          <w:tcPr>
            <w:tcW w:w="2464" w:type="dxa"/>
          </w:tcPr>
          <w:p>
            <w:pPr>
              <w:adjustRightInd w:val="0"/>
              <w:snapToGrid w:val="0"/>
              <w:spacing w:line="360" w:lineRule="auto"/>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14:textFill>
                  <w14:solidFill>
                    <w14:schemeClr w14:val="tx1"/>
                  </w14:solidFill>
                </w14:textFill>
              </w:rPr>
            </w:pPr>
          </w:p>
        </w:tc>
        <w:tc>
          <w:tcPr>
            <w:tcW w:w="3240" w:type="dxa"/>
          </w:tcPr>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3322" w:type="dxa"/>
          </w:tcPr>
          <w:p>
            <w:pPr>
              <w:adjustRightInd w:val="0"/>
              <w:snapToGrid w:val="0"/>
              <w:spacing w:line="360" w:lineRule="auto"/>
              <w:rPr>
                <w:bCs/>
                <w:color w:val="000000" w:themeColor="text1"/>
                <w:sz w:val="24"/>
                <w14:textFill>
                  <w14:solidFill>
                    <w14:schemeClr w14:val="tx1"/>
                  </w14:solidFill>
                </w14:textFill>
              </w:rPr>
            </w:pPr>
          </w:p>
        </w:tc>
        <w:tc>
          <w:tcPr>
            <w:tcW w:w="2464" w:type="dxa"/>
          </w:tcPr>
          <w:p>
            <w:pPr>
              <w:adjustRightInd w:val="0"/>
              <w:snapToGrid w:val="0"/>
              <w:spacing w:line="360" w:lineRule="auto"/>
              <w:rPr>
                <w:bCs/>
                <w:color w:val="000000" w:themeColor="text1"/>
                <w:sz w:val="24"/>
                <w14:textFill>
                  <w14:solidFill>
                    <w14:schemeClr w14:val="tx1"/>
                  </w14:solidFill>
                </w14:textFill>
              </w:rPr>
            </w:pPr>
          </w:p>
        </w:tc>
      </w:tr>
    </w:tbl>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b/>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注：在按要求填写好此表格后，各投标单位可以用其它的方式，就公司整体情况作出详细的介绍（可以提供相应文字、照片等）。</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（二）供应商资格证明文件</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 投标人资格要求的证明文件：</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（1）工商营业执照复印件；</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（2）提供招标公告中关于投标人资格要求的相关资格证明文件复印件。</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 评分标准中涉及的有关资格（质）证明文件：</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（1）税务部门出具的</w:t>
      </w:r>
      <w:r>
        <w:rPr>
          <w:rFonts w:hint="eastAsia"/>
          <w:color w:val="000000" w:themeColor="text1"/>
          <w:sz w:val="24"/>
          <w14:textFill>
            <w14:solidFill>
              <w14:schemeClr w14:val="tx1"/>
            </w14:solidFill>
          </w14:textFill>
        </w:rPr>
        <w:t>2016</w:t>
      </w:r>
      <w:r>
        <w:rPr>
          <w:color w:val="000000" w:themeColor="text1"/>
          <w:sz w:val="24"/>
          <w14:textFill>
            <w14:solidFill>
              <w14:schemeClr w14:val="tx1"/>
            </w14:solidFill>
          </w14:textFill>
        </w:rPr>
        <w:t>年度</w:t>
      </w:r>
      <w:r>
        <w:rPr>
          <w:bCs/>
          <w:color w:val="000000" w:themeColor="text1"/>
          <w:sz w:val="24"/>
          <w14:textFill>
            <w14:solidFill>
              <w14:schemeClr w14:val="tx1"/>
            </w14:solidFill>
          </w14:textFill>
        </w:rPr>
        <w:t>纳税证明复印件，并自行汇总纳税额（如有）；</w:t>
      </w:r>
    </w:p>
    <w:p>
      <w:pPr>
        <w:adjustRightInd w:val="0"/>
        <w:snapToGrid w:val="0"/>
        <w:spacing w:line="360" w:lineRule="auto"/>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（2）ISO9001质量管理体系认证证书复印件（如有）；</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（3）投标产品自主创新证明文件（如有）；</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（4）……（如有）；</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（5）……（如有）；</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（6）其他（供应商自定提供）。</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（三）“关键信息-评标信息”规定的公司业绩、已做项目简介</w:t>
      </w:r>
    </w:p>
    <w:tbl>
      <w:tblPr>
        <w:tblStyle w:val="24"/>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23"/>
        <w:gridCol w:w="1260"/>
        <w:gridCol w:w="1938"/>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1123"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采购人</w:t>
            </w:r>
          </w:p>
        </w:tc>
        <w:tc>
          <w:tcPr>
            <w:tcW w:w="1260"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c>
        <w:tc>
          <w:tcPr>
            <w:tcW w:w="1938"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规模（金额/元）</w:t>
            </w:r>
          </w:p>
        </w:tc>
        <w:tc>
          <w:tcPr>
            <w:tcW w:w="1232"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完成时间</w:t>
            </w:r>
          </w:p>
        </w:tc>
        <w:tc>
          <w:tcPr>
            <w:tcW w:w="1232"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运行情况</w:t>
            </w:r>
          </w:p>
        </w:tc>
        <w:tc>
          <w:tcPr>
            <w:tcW w:w="1232"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联系人</w:t>
            </w:r>
          </w:p>
        </w:tc>
        <w:tc>
          <w:tcPr>
            <w:tcW w:w="1232" w:type="dxa"/>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14:textFill>
                  <w14:solidFill>
                    <w14:schemeClr w14:val="tx1"/>
                  </w14:solidFill>
                </w14:textFill>
              </w:rPr>
            </w:pPr>
          </w:p>
        </w:tc>
        <w:tc>
          <w:tcPr>
            <w:tcW w:w="1123" w:type="dxa"/>
          </w:tcPr>
          <w:p>
            <w:pPr>
              <w:adjustRightInd w:val="0"/>
              <w:snapToGrid w:val="0"/>
              <w:spacing w:line="360" w:lineRule="auto"/>
              <w:rPr>
                <w:bCs/>
                <w:color w:val="000000" w:themeColor="text1"/>
                <w:sz w:val="24"/>
                <w14:textFill>
                  <w14:solidFill>
                    <w14:schemeClr w14:val="tx1"/>
                  </w14:solidFill>
                </w14:textFill>
              </w:rPr>
            </w:pPr>
          </w:p>
        </w:tc>
        <w:tc>
          <w:tcPr>
            <w:tcW w:w="1260" w:type="dxa"/>
          </w:tcPr>
          <w:p>
            <w:pPr>
              <w:adjustRightInd w:val="0"/>
              <w:snapToGrid w:val="0"/>
              <w:spacing w:line="360" w:lineRule="auto"/>
              <w:rPr>
                <w:bCs/>
                <w:color w:val="000000" w:themeColor="text1"/>
                <w:sz w:val="24"/>
                <w14:textFill>
                  <w14:solidFill>
                    <w14:schemeClr w14:val="tx1"/>
                  </w14:solidFill>
                </w14:textFill>
              </w:rPr>
            </w:pPr>
          </w:p>
        </w:tc>
        <w:tc>
          <w:tcPr>
            <w:tcW w:w="1938" w:type="dxa"/>
          </w:tcPr>
          <w:p>
            <w:pPr>
              <w:adjustRightInd w:val="0"/>
              <w:snapToGrid w:val="0"/>
              <w:spacing w:line="360" w:lineRule="auto"/>
              <w:rPr>
                <w:bCs/>
                <w:color w:val="000000" w:themeColor="text1"/>
                <w:sz w:val="24"/>
                <w14:textFill>
                  <w14:solidFill>
                    <w14:schemeClr w14:val="tx1"/>
                  </w14:solidFill>
                </w14:textFill>
              </w:rPr>
            </w:pPr>
          </w:p>
        </w:tc>
        <w:tc>
          <w:tcPr>
            <w:tcW w:w="1232" w:type="dxa"/>
          </w:tcPr>
          <w:p>
            <w:pPr>
              <w:adjustRightInd w:val="0"/>
              <w:snapToGrid w:val="0"/>
              <w:spacing w:line="360" w:lineRule="auto"/>
              <w:rPr>
                <w:bCs/>
                <w:color w:val="000000" w:themeColor="text1"/>
                <w:sz w:val="24"/>
                <w14:textFill>
                  <w14:solidFill>
                    <w14:schemeClr w14:val="tx1"/>
                  </w14:solidFill>
                </w14:textFill>
              </w:rPr>
            </w:pPr>
          </w:p>
        </w:tc>
        <w:tc>
          <w:tcPr>
            <w:tcW w:w="1232" w:type="dxa"/>
          </w:tcPr>
          <w:p>
            <w:pPr>
              <w:adjustRightInd w:val="0"/>
              <w:snapToGrid w:val="0"/>
              <w:spacing w:line="360" w:lineRule="auto"/>
              <w:rPr>
                <w:bCs/>
                <w:color w:val="000000" w:themeColor="text1"/>
                <w:sz w:val="24"/>
                <w14:textFill>
                  <w14:solidFill>
                    <w14:schemeClr w14:val="tx1"/>
                  </w14:solidFill>
                </w14:textFill>
              </w:rPr>
            </w:pPr>
          </w:p>
        </w:tc>
        <w:tc>
          <w:tcPr>
            <w:tcW w:w="1232" w:type="dxa"/>
          </w:tcPr>
          <w:p>
            <w:pPr>
              <w:adjustRightInd w:val="0"/>
              <w:snapToGrid w:val="0"/>
              <w:spacing w:line="360" w:lineRule="auto"/>
              <w:rPr>
                <w:bCs/>
                <w:color w:val="000000" w:themeColor="text1"/>
                <w:sz w:val="24"/>
                <w14:textFill>
                  <w14:solidFill>
                    <w14:schemeClr w14:val="tx1"/>
                  </w14:solidFill>
                </w14:textFill>
              </w:rPr>
            </w:pPr>
          </w:p>
        </w:tc>
        <w:tc>
          <w:tcPr>
            <w:tcW w:w="1232" w:type="dxa"/>
          </w:tcPr>
          <w:p>
            <w:pPr>
              <w:adjustRightInd w:val="0"/>
              <w:snapToGrid w:val="0"/>
              <w:spacing w:line="360" w:lineRule="auto"/>
              <w:rPr>
                <w:bCs/>
                <w:color w:val="000000" w:themeColor="text1"/>
                <w:sz w:val="24"/>
                <w14:textFill>
                  <w14:solidFill>
                    <w14:schemeClr w14:val="tx1"/>
                  </w14:solidFill>
                </w14:textFill>
              </w:rPr>
            </w:pPr>
          </w:p>
        </w:tc>
      </w:tr>
    </w:tbl>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（四）拥有相关专利情况</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1. 专利一览表</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2. 专利证书复印件</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（五）所获荣誉或奖励</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1. 荣誉或奖励一览表</w:t>
      </w:r>
    </w:p>
    <w:p>
      <w:pPr>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2. 相应荣誉或奖励证明文件</w:t>
      </w:r>
    </w:p>
    <w:p>
      <w:pPr>
        <w:adjustRightInd w:val="0"/>
        <w:snapToGrid w:val="0"/>
        <w:spacing w:line="360" w:lineRule="auto"/>
        <w:jc w:val="center"/>
        <w:rPr>
          <w:b/>
          <w:bCs/>
          <w:color w:val="000000" w:themeColor="text1"/>
          <w:sz w:val="24"/>
          <w14:textFill>
            <w14:solidFill>
              <w14:schemeClr w14:val="tx1"/>
            </w14:solidFill>
          </w14:textFill>
        </w:rPr>
      </w:pPr>
    </w:p>
    <w:p>
      <w:pPr>
        <w:adjustRightInd w:val="0"/>
        <w:snapToGrid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附：同类业绩</w:t>
      </w:r>
    </w:p>
    <w:tbl>
      <w:tblPr>
        <w:tblStyle w:val="24"/>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56"/>
        <w:gridCol w:w="2399"/>
        <w:gridCol w:w="2099"/>
        <w:gridCol w:w="2099"/>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atLeast"/>
          <w:jc w:val="center"/>
        </w:trPr>
        <w:tc>
          <w:tcPr>
            <w:tcW w:w="956" w:type="dxa"/>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年份</w:t>
            </w:r>
          </w:p>
        </w:tc>
        <w:tc>
          <w:tcPr>
            <w:tcW w:w="2399" w:type="dxa"/>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2099" w:type="dxa"/>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项目获奖情况</w:t>
            </w:r>
          </w:p>
        </w:tc>
        <w:tc>
          <w:tcPr>
            <w:tcW w:w="2099" w:type="dxa"/>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项目简介</w:t>
            </w:r>
          </w:p>
        </w:tc>
        <w:tc>
          <w:tcPr>
            <w:tcW w:w="2193" w:type="dxa"/>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atLeast"/>
          <w:jc w:val="center"/>
        </w:trPr>
        <w:tc>
          <w:tcPr>
            <w:tcW w:w="956" w:type="dxa"/>
            <w:vAlign w:val="center"/>
          </w:tcPr>
          <w:p>
            <w:pPr>
              <w:adjustRightInd w:val="0"/>
              <w:snapToGrid w:val="0"/>
              <w:spacing w:line="360" w:lineRule="auto"/>
              <w:rPr>
                <w:color w:val="000000" w:themeColor="text1"/>
                <w:sz w:val="24"/>
                <w14:textFill>
                  <w14:solidFill>
                    <w14:schemeClr w14:val="tx1"/>
                  </w14:solidFill>
                </w14:textFill>
              </w:rPr>
            </w:pPr>
          </w:p>
        </w:tc>
        <w:tc>
          <w:tcPr>
            <w:tcW w:w="2399" w:type="dxa"/>
            <w:vAlign w:val="center"/>
          </w:tcPr>
          <w:p>
            <w:pPr>
              <w:adjustRightInd w:val="0"/>
              <w:snapToGrid w:val="0"/>
              <w:spacing w:line="360" w:lineRule="auto"/>
              <w:rPr>
                <w:color w:val="000000" w:themeColor="text1"/>
                <w:sz w:val="24"/>
                <w14:textFill>
                  <w14:solidFill>
                    <w14:schemeClr w14:val="tx1"/>
                  </w14:solidFill>
                </w14:textFill>
              </w:rPr>
            </w:pPr>
          </w:p>
        </w:tc>
        <w:tc>
          <w:tcPr>
            <w:tcW w:w="2099" w:type="dxa"/>
            <w:vAlign w:val="center"/>
          </w:tcPr>
          <w:p>
            <w:pPr>
              <w:adjustRightInd w:val="0"/>
              <w:snapToGrid w:val="0"/>
              <w:spacing w:line="360" w:lineRule="auto"/>
              <w:rPr>
                <w:color w:val="000000" w:themeColor="text1"/>
                <w:sz w:val="24"/>
                <w14:textFill>
                  <w14:solidFill>
                    <w14:schemeClr w14:val="tx1"/>
                  </w14:solidFill>
                </w14:textFill>
              </w:rPr>
            </w:pPr>
          </w:p>
        </w:tc>
        <w:tc>
          <w:tcPr>
            <w:tcW w:w="2099" w:type="dxa"/>
            <w:vAlign w:val="center"/>
          </w:tcPr>
          <w:p>
            <w:pPr>
              <w:adjustRightInd w:val="0"/>
              <w:snapToGrid w:val="0"/>
              <w:spacing w:line="360" w:lineRule="auto"/>
              <w:rPr>
                <w:color w:val="000000" w:themeColor="text1"/>
                <w:sz w:val="24"/>
                <w14:textFill>
                  <w14:solidFill>
                    <w14:schemeClr w14:val="tx1"/>
                  </w14:solidFill>
                </w14:textFill>
              </w:rPr>
            </w:pPr>
          </w:p>
        </w:tc>
        <w:tc>
          <w:tcPr>
            <w:tcW w:w="2193" w:type="dxa"/>
            <w:vAlign w:val="center"/>
          </w:tcPr>
          <w:p>
            <w:pPr>
              <w:adjustRightInd w:val="0"/>
              <w:snapToGrid w:val="0"/>
              <w:spacing w:line="360" w:lineRule="auto"/>
              <w:rPr>
                <w:color w:val="000000" w:themeColor="text1"/>
                <w:sz w:val="24"/>
                <w14:textFill>
                  <w14:solidFill>
                    <w14:schemeClr w14:val="tx1"/>
                  </w14:solidFill>
                </w14:textFill>
              </w:rPr>
            </w:pPr>
          </w:p>
        </w:tc>
      </w:tr>
    </w:tbl>
    <w:p>
      <w:pPr>
        <w:adjustRightInd w:val="0"/>
        <w:snapToGrid w:val="0"/>
        <w:spacing w:line="360" w:lineRule="auto"/>
        <w:rPr>
          <w:color w:val="000000" w:themeColor="text1"/>
          <w:sz w:val="24"/>
          <w14:textFill>
            <w14:solidFill>
              <w14:schemeClr w14:val="tx1"/>
            </w14:solidFill>
          </w14:textFill>
        </w:rPr>
      </w:pP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投标单位公章：</w:t>
      </w:r>
    </w:p>
    <w:p>
      <w:pPr>
        <w:tabs>
          <w:tab w:val="left" w:pos="414"/>
          <w:tab w:val="left" w:pos="1974"/>
          <w:tab w:val="left" w:pos="3414"/>
          <w:tab w:val="left" w:pos="4854"/>
          <w:tab w:val="left" w:pos="6174"/>
          <w:tab w:val="left" w:pos="7614"/>
          <w:tab w:val="left" w:pos="9414"/>
        </w:tabs>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法人代表或被授权人签字：</w:t>
      </w:r>
    </w:p>
    <w:p>
      <w:pPr>
        <w:tabs>
          <w:tab w:val="left" w:pos="414"/>
          <w:tab w:val="left" w:pos="1974"/>
          <w:tab w:val="left" w:pos="3414"/>
          <w:tab w:val="left" w:pos="4854"/>
          <w:tab w:val="left" w:pos="6174"/>
          <w:tab w:val="left" w:pos="7614"/>
          <w:tab w:val="left" w:pos="9414"/>
        </w:tabs>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注：1.在备注中填写项目单位名称、联系人、联系电话等内容。</w:t>
      </w:r>
    </w:p>
    <w:p>
      <w:pPr>
        <w:tabs>
          <w:tab w:val="left" w:pos="414"/>
          <w:tab w:val="left" w:pos="1974"/>
          <w:tab w:val="left" w:pos="3414"/>
          <w:tab w:val="left" w:pos="4854"/>
          <w:tab w:val="left" w:pos="6174"/>
          <w:tab w:val="left" w:pos="7614"/>
          <w:tab w:val="left" w:pos="9414"/>
        </w:tabs>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2.需递交上述项目的证明材料：合同复印件（加盖公章），原件备查。</w:t>
      </w:r>
    </w:p>
    <w:p>
      <w:pPr>
        <w:tabs>
          <w:tab w:val="left" w:pos="414"/>
          <w:tab w:val="left" w:pos="1974"/>
          <w:tab w:val="left" w:pos="3414"/>
          <w:tab w:val="left" w:pos="4854"/>
          <w:tab w:val="left" w:pos="6174"/>
          <w:tab w:val="left" w:pos="7614"/>
          <w:tab w:val="left" w:pos="9414"/>
        </w:tabs>
        <w:adjustRightInd w:val="0"/>
        <w:snapToGrid w:val="0"/>
        <w:spacing w:line="360" w:lineRule="auto"/>
        <w:rPr>
          <w:bCs/>
          <w:color w:val="000000" w:themeColor="text1"/>
          <w:sz w:val="24"/>
          <w14:textFill>
            <w14:solidFill>
              <w14:schemeClr w14:val="tx1"/>
            </w14:solidFill>
          </w14:textFill>
        </w:rPr>
      </w:pPr>
      <w:r>
        <w:rPr>
          <w:color w:val="000000" w:themeColor="text1"/>
          <w:sz w:val="24"/>
          <w14:textFill>
            <w14:solidFill>
              <w14:schemeClr w14:val="tx1"/>
            </w14:solidFill>
          </w14:textFill>
        </w:rPr>
        <w:t>3. 提供的资料须齐全。</w:t>
      </w:r>
    </w:p>
    <w:p>
      <w:pPr>
        <w:spacing w:line="360" w:lineRule="auto"/>
        <w:rPr>
          <w:bCs/>
          <w:color w:val="000000" w:themeColor="text1"/>
          <w:sz w:val="24"/>
          <w14:textFill>
            <w14:solidFill>
              <w14:schemeClr w14:val="tx1"/>
            </w14:solidFill>
          </w14:textFill>
        </w:rPr>
      </w:pPr>
    </w:p>
    <w:p>
      <w:pPr>
        <w:jc w:val="center"/>
        <w:rPr>
          <w:color w:val="000000" w:themeColor="text1"/>
          <w14:textFill>
            <w14:solidFill>
              <w14:schemeClr w14:val="tx1"/>
            </w14:solidFill>
          </w14:textFill>
        </w:rPr>
      </w:pPr>
      <w:r>
        <w:rPr>
          <w:b/>
          <w:bCs/>
          <w:color w:val="000000" w:themeColor="text1"/>
          <w:sz w:val="32"/>
          <w:szCs w:val="32"/>
          <w14:textFill>
            <w14:solidFill>
              <w14:schemeClr w14:val="tx1"/>
            </w14:solidFill>
          </w14:textFill>
        </w:rPr>
        <w:br w:type="page"/>
      </w:r>
      <w:r>
        <w:rPr>
          <w:b/>
          <w:bCs/>
          <w:color w:val="000000" w:themeColor="text1"/>
          <w:sz w:val="32"/>
          <w:szCs w:val="32"/>
          <w14:textFill>
            <w14:solidFill>
              <w14:schemeClr w14:val="tx1"/>
            </w14:solidFill>
          </w14:textFill>
        </w:rPr>
        <w:t>八、项目管理班子配备情况（表1 ~表4）</w:t>
      </w:r>
    </w:p>
    <w:p>
      <w:pPr>
        <w:spacing w:after="60"/>
        <w:jc w:val="center"/>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表1  项目管理班子配备情况表</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00"/>
        <w:gridCol w:w="900"/>
        <w:gridCol w:w="1188"/>
        <w:gridCol w:w="720"/>
        <w:gridCol w:w="720"/>
        <w:gridCol w:w="720"/>
        <w:gridCol w:w="1300"/>
        <w:gridCol w:w="8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职务</w:t>
            </w:r>
          </w:p>
        </w:tc>
        <w:tc>
          <w:tcPr>
            <w:tcW w:w="900" w:type="dxa"/>
            <w:vMerge w:val="restart"/>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姓名</w:t>
            </w:r>
          </w:p>
        </w:tc>
        <w:tc>
          <w:tcPr>
            <w:tcW w:w="900" w:type="dxa"/>
            <w:vMerge w:val="restart"/>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职称</w:t>
            </w:r>
          </w:p>
        </w:tc>
        <w:tc>
          <w:tcPr>
            <w:tcW w:w="4648" w:type="dxa"/>
            <w:gridSpan w:val="5"/>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上岗资格证明</w:t>
            </w:r>
          </w:p>
        </w:tc>
        <w:tc>
          <w:tcPr>
            <w:tcW w:w="1940" w:type="dxa"/>
            <w:gridSpan w:val="2"/>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已承担在建项目情况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spacing w:before="40" w:after="20"/>
              <w:jc w:val="center"/>
              <w:rPr>
                <w:color w:val="000000" w:themeColor="text1"/>
                <w:sz w:val="18"/>
                <w:szCs w:val="18"/>
                <w14:textFill>
                  <w14:solidFill>
                    <w14:schemeClr w14:val="tx1"/>
                  </w14:solidFill>
                </w14:textFill>
              </w:rPr>
            </w:pPr>
          </w:p>
        </w:tc>
        <w:tc>
          <w:tcPr>
            <w:tcW w:w="900" w:type="dxa"/>
            <w:vMerge w:val="continue"/>
            <w:vAlign w:val="center"/>
          </w:tcPr>
          <w:p>
            <w:pPr>
              <w:spacing w:before="40" w:after="20"/>
              <w:jc w:val="center"/>
              <w:rPr>
                <w:color w:val="000000" w:themeColor="text1"/>
                <w:sz w:val="18"/>
                <w:szCs w:val="18"/>
                <w14:textFill>
                  <w14:solidFill>
                    <w14:schemeClr w14:val="tx1"/>
                  </w14:solidFill>
                </w14:textFill>
              </w:rPr>
            </w:pPr>
          </w:p>
        </w:tc>
        <w:tc>
          <w:tcPr>
            <w:tcW w:w="900" w:type="dxa"/>
            <w:vMerge w:val="continue"/>
            <w:vAlign w:val="center"/>
          </w:tcPr>
          <w:p>
            <w:pPr>
              <w:spacing w:before="40" w:after="20"/>
              <w:jc w:val="center"/>
              <w:rPr>
                <w:color w:val="000000" w:themeColor="text1"/>
                <w:sz w:val="18"/>
                <w:szCs w:val="18"/>
                <w14:textFill>
                  <w14:solidFill>
                    <w14:schemeClr w14:val="tx1"/>
                  </w14:solidFill>
                </w14:textFill>
              </w:rPr>
            </w:pPr>
          </w:p>
        </w:tc>
        <w:tc>
          <w:tcPr>
            <w:tcW w:w="1188" w:type="dxa"/>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证书名称</w:t>
            </w:r>
          </w:p>
        </w:tc>
        <w:tc>
          <w:tcPr>
            <w:tcW w:w="720" w:type="dxa"/>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级别</w:t>
            </w:r>
          </w:p>
        </w:tc>
        <w:tc>
          <w:tcPr>
            <w:tcW w:w="720" w:type="dxa"/>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证号</w:t>
            </w:r>
          </w:p>
        </w:tc>
        <w:tc>
          <w:tcPr>
            <w:tcW w:w="720" w:type="dxa"/>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w:t>
            </w:r>
          </w:p>
        </w:tc>
        <w:tc>
          <w:tcPr>
            <w:tcW w:w="1300" w:type="dxa"/>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原服务单位</w:t>
            </w:r>
          </w:p>
        </w:tc>
        <w:tc>
          <w:tcPr>
            <w:tcW w:w="860" w:type="dxa"/>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项目数</w:t>
            </w:r>
          </w:p>
        </w:tc>
        <w:tc>
          <w:tcPr>
            <w:tcW w:w="1080" w:type="dxa"/>
            <w:vAlign w:val="center"/>
          </w:tcPr>
          <w:p>
            <w:pPr>
              <w:spacing w:before="4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Pr>
          <w:p>
            <w:pPr>
              <w:spacing w:before="40" w:after="20"/>
              <w:jc w:val="center"/>
              <w:rPr>
                <w:color w:val="000000" w:themeColor="text1"/>
                <w:sz w:val="18"/>
                <w:szCs w:val="18"/>
                <w14:textFill>
                  <w14:solidFill>
                    <w14:schemeClr w14:val="tx1"/>
                  </w14:solidFill>
                </w14:textFill>
              </w:rPr>
            </w:pPr>
          </w:p>
        </w:tc>
        <w:tc>
          <w:tcPr>
            <w:tcW w:w="900" w:type="dxa"/>
          </w:tcPr>
          <w:p>
            <w:pPr>
              <w:spacing w:before="40" w:after="20"/>
              <w:jc w:val="center"/>
              <w:rPr>
                <w:color w:val="000000" w:themeColor="text1"/>
                <w:sz w:val="18"/>
                <w:szCs w:val="18"/>
                <w14:textFill>
                  <w14:solidFill>
                    <w14:schemeClr w14:val="tx1"/>
                  </w14:solidFill>
                </w14:textFill>
              </w:rPr>
            </w:pPr>
          </w:p>
        </w:tc>
        <w:tc>
          <w:tcPr>
            <w:tcW w:w="900" w:type="dxa"/>
          </w:tcPr>
          <w:p>
            <w:pPr>
              <w:spacing w:before="40" w:after="20"/>
              <w:jc w:val="center"/>
              <w:rPr>
                <w:color w:val="000000" w:themeColor="text1"/>
                <w:sz w:val="18"/>
                <w:szCs w:val="18"/>
                <w14:textFill>
                  <w14:solidFill>
                    <w14:schemeClr w14:val="tx1"/>
                  </w14:solidFill>
                </w14:textFill>
              </w:rPr>
            </w:pPr>
          </w:p>
        </w:tc>
        <w:tc>
          <w:tcPr>
            <w:tcW w:w="1188" w:type="dxa"/>
          </w:tcPr>
          <w:p>
            <w:pPr>
              <w:spacing w:before="40" w:after="20"/>
              <w:jc w:val="center"/>
              <w:rPr>
                <w:color w:val="000000" w:themeColor="text1"/>
                <w:sz w:val="18"/>
                <w:szCs w:val="18"/>
                <w14:textFill>
                  <w14:solidFill>
                    <w14:schemeClr w14:val="tx1"/>
                  </w14:solidFill>
                </w14:textFill>
              </w:rPr>
            </w:pPr>
          </w:p>
        </w:tc>
        <w:tc>
          <w:tcPr>
            <w:tcW w:w="720" w:type="dxa"/>
          </w:tcPr>
          <w:p>
            <w:pPr>
              <w:spacing w:before="40" w:after="20"/>
              <w:jc w:val="center"/>
              <w:rPr>
                <w:color w:val="000000" w:themeColor="text1"/>
                <w:sz w:val="18"/>
                <w:szCs w:val="18"/>
                <w14:textFill>
                  <w14:solidFill>
                    <w14:schemeClr w14:val="tx1"/>
                  </w14:solidFill>
                </w14:textFill>
              </w:rPr>
            </w:pPr>
          </w:p>
        </w:tc>
        <w:tc>
          <w:tcPr>
            <w:tcW w:w="720" w:type="dxa"/>
          </w:tcPr>
          <w:p>
            <w:pPr>
              <w:spacing w:before="40" w:after="20"/>
              <w:jc w:val="center"/>
              <w:rPr>
                <w:color w:val="000000" w:themeColor="text1"/>
                <w:sz w:val="18"/>
                <w:szCs w:val="18"/>
                <w14:textFill>
                  <w14:solidFill>
                    <w14:schemeClr w14:val="tx1"/>
                  </w14:solidFill>
                </w14:textFill>
              </w:rPr>
            </w:pPr>
          </w:p>
        </w:tc>
        <w:tc>
          <w:tcPr>
            <w:tcW w:w="720" w:type="dxa"/>
          </w:tcPr>
          <w:p>
            <w:pPr>
              <w:spacing w:before="40" w:after="20"/>
              <w:jc w:val="center"/>
              <w:rPr>
                <w:color w:val="000000" w:themeColor="text1"/>
                <w:sz w:val="18"/>
                <w:szCs w:val="18"/>
                <w14:textFill>
                  <w14:solidFill>
                    <w14:schemeClr w14:val="tx1"/>
                  </w14:solidFill>
                </w14:textFill>
              </w:rPr>
            </w:pPr>
          </w:p>
        </w:tc>
        <w:tc>
          <w:tcPr>
            <w:tcW w:w="1300" w:type="dxa"/>
          </w:tcPr>
          <w:p>
            <w:pPr>
              <w:spacing w:before="40" w:after="20"/>
              <w:jc w:val="center"/>
              <w:rPr>
                <w:color w:val="000000" w:themeColor="text1"/>
                <w:sz w:val="18"/>
                <w:szCs w:val="18"/>
                <w14:textFill>
                  <w14:solidFill>
                    <w14:schemeClr w14:val="tx1"/>
                  </w14:solidFill>
                </w14:textFill>
              </w:rPr>
            </w:pPr>
          </w:p>
        </w:tc>
        <w:tc>
          <w:tcPr>
            <w:tcW w:w="860" w:type="dxa"/>
          </w:tcPr>
          <w:p>
            <w:pPr>
              <w:spacing w:before="40" w:after="20"/>
              <w:jc w:val="center"/>
              <w:rPr>
                <w:color w:val="000000" w:themeColor="text1"/>
                <w:sz w:val="18"/>
                <w:szCs w:val="18"/>
                <w14:textFill>
                  <w14:solidFill>
                    <w14:schemeClr w14:val="tx1"/>
                  </w14:solidFill>
                </w14:textFill>
              </w:rPr>
            </w:pPr>
          </w:p>
        </w:tc>
        <w:tc>
          <w:tcPr>
            <w:tcW w:w="1080" w:type="dxa"/>
          </w:tcPr>
          <w:p>
            <w:pPr>
              <w:spacing w:before="4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Pr>
          <w:p>
            <w:pPr>
              <w:spacing w:before="40" w:after="20"/>
              <w:jc w:val="center"/>
              <w:rPr>
                <w:color w:val="000000" w:themeColor="text1"/>
                <w:sz w:val="18"/>
                <w:szCs w:val="18"/>
                <w14:textFill>
                  <w14:solidFill>
                    <w14:schemeClr w14:val="tx1"/>
                  </w14:solidFill>
                </w14:textFill>
              </w:rPr>
            </w:pPr>
          </w:p>
        </w:tc>
        <w:tc>
          <w:tcPr>
            <w:tcW w:w="900" w:type="dxa"/>
          </w:tcPr>
          <w:p>
            <w:pPr>
              <w:spacing w:before="40" w:after="20"/>
              <w:jc w:val="center"/>
              <w:rPr>
                <w:color w:val="000000" w:themeColor="text1"/>
                <w:sz w:val="18"/>
                <w:szCs w:val="18"/>
                <w14:textFill>
                  <w14:solidFill>
                    <w14:schemeClr w14:val="tx1"/>
                  </w14:solidFill>
                </w14:textFill>
              </w:rPr>
            </w:pPr>
          </w:p>
        </w:tc>
        <w:tc>
          <w:tcPr>
            <w:tcW w:w="900" w:type="dxa"/>
          </w:tcPr>
          <w:p>
            <w:pPr>
              <w:spacing w:before="40" w:after="20"/>
              <w:jc w:val="center"/>
              <w:rPr>
                <w:color w:val="000000" w:themeColor="text1"/>
                <w:sz w:val="18"/>
                <w:szCs w:val="18"/>
                <w14:textFill>
                  <w14:solidFill>
                    <w14:schemeClr w14:val="tx1"/>
                  </w14:solidFill>
                </w14:textFill>
              </w:rPr>
            </w:pPr>
          </w:p>
        </w:tc>
        <w:tc>
          <w:tcPr>
            <w:tcW w:w="1188" w:type="dxa"/>
          </w:tcPr>
          <w:p>
            <w:pPr>
              <w:spacing w:before="40" w:after="20"/>
              <w:jc w:val="center"/>
              <w:rPr>
                <w:color w:val="000000" w:themeColor="text1"/>
                <w:sz w:val="18"/>
                <w:szCs w:val="18"/>
                <w14:textFill>
                  <w14:solidFill>
                    <w14:schemeClr w14:val="tx1"/>
                  </w14:solidFill>
                </w14:textFill>
              </w:rPr>
            </w:pPr>
          </w:p>
        </w:tc>
        <w:tc>
          <w:tcPr>
            <w:tcW w:w="720" w:type="dxa"/>
          </w:tcPr>
          <w:p>
            <w:pPr>
              <w:spacing w:before="40" w:after="20"/>
              <w:jc w:val="center"/>
              <w:rPr>
                <w:color w:val="000000" w:themeColor="text1"/>
                <w:sz w:val="18"/>
                <w:szCs w:val="18"/>
                <w14:textFill>
                  <w14:solidFill>
                    <w14:schemeClr w14:val="tx1"/>
                  </w14:solidFill>
                </w14:textFill>
              </w:rPr>
            </w:pPr>
          </w:p>
        </w:tc>
        <w:tc>
          <w:tcPr>
            <w:tcW w:w="720" w:type="dxa"/>
          </w:tcPr>
          <w:p>
            <w:pPr>
              <w:spacing w:before="40" w:after="20"/>
              <w:jc w:val="center"/>
              <w:rPr>
                <w:color w:val="000000" w:themeColor="text1"/>
                <w:sz w:val="18"/>
                <w:szCs w:val="18"/>
                <w14:textFill>
                  <w14:solidFill>
                    <w14:schemeClr w14:val="tx1"/>
                  </w14:solidFill>
                </w14:textFill>
              </w:rPr>
            </w:pPr>
          </w:p>
        </w:tc>
        <w:tc>
          <w:tcPr>
            <w:tcW w:w="720" w:type="dxa"/>
          </w:tcPr>
          <w:p>
            <w:pPr>
              <w:spacing w:before="40" w:after="20"/>
              <w:jc w:val="center"/>
              <w:rPr>
                <w:color w:val="000000" w:themeColor="text1"/>
                <w:sz w:val="18"/>
                <w:szCs w:val="18"/>
                <w14:textFill>
                  <w14:solidFill>
                    <w14:schemeClr w14:val="tx1"/>
                  </w14:solidFill>
                </w14:textFill>
              </w:rPr>
            </w:pPr>
          </w:p>
        </w:tc>
        <w:tc>
          <w:tcPr>
            <w:tcW w:w="1300" w:type="dxa"/>
          </w:tcPr>
          <w:p>
            <w:pPr>
              <w:spacing w:before="40" w:after="20"/>
              <w:jc w:val="center"/>
              <w:rPr>
                <w:color w:val="000000" w:themeColor="text1"/>
                <w:sz w:val="18"/>
                <w:szCs w:val="18"/>
                <w14:textFill>
                  <w14:solidFill>
                    <w14:schemeClr w14:val="tx1"/>
                  </w14:solidFill>
                </w14:textFill>
              </w:rPr>
            </w:pPr>
          </w:p>
        </w:tc>
        <w:tc>
          <w:tcPr>
            <w:tcW w:w="860" w:type="dxa"/>
          </w:tcPr>
          <w:p>
            <w:pPr>
              <w:spacing w:before="40" w:after="20"/>
              <w:jc w:val="center"/>
              <w:rPr>
                <w:color w:val="000000" w:themeColor="text1"/>
                <w:sz w:val="18"/>
                <w:szCs w:val="18"/>
                <w14:textFill>
                  <w14:solidFill>
                    <w14:schemeClr w14:val="tx1"/>
                  </w14:solidFill>
                </w14:textFill>
              </w:rPr>
            </w:pPr>
          </w:p>
        </w:tc>
        <w:tc>
          <w:tcPr>
            <w:tcW w:w="1080" w:type="dxa"/>
          </w:tcPr>
          <w:p>
            <w:pPr>
              <w:spacing w:before="4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10"/>
          </w:tcPr>
          <w:p>
            <w:pPr>
              <w:spacing w:before="40" w:after="2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本项目一旦我单位中标，将实行项目经理负责制，并配备上述项目管理班子，上述所报内容真实，否则，愿按有关规定接受处理，项目管理班子机构处置、职责分工等情况另附资料说明。</w:t>
            </w:r>
          </w:p>
        </w:tc>
      </w:tr>
    </w:tbl>
    <w:p>
      <w:pPr>
        <w:ind w:firstLine="1859" w:firstLineChars="882"/>
        <w:rPr>
          <w:b/>
          <w:bCs/>
          <w:color w:val="000000" w:themeColor="text1"/>
          <w:szCs w:val="21"/>
          <w14:textFill>
            <w14:solidFill>
              <w14:schemeClr w14:val="tx1"/>
            </w14:solidFill>
          </w14:textFill>
        </w:rPr>
      </w:pPr>
    </w:p>
    <w:p>
      <w:pPr>
        <w:spacing w:after="60"/>
        <w:jc w:val="center"/>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表2  项目经理简历表</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60"/>
        <w:gridCol w:w="720"/>
        <w:gridCol w:w="1063"/>
        <w:gridCol w:w="197"/>
        <w:gridCol w:w="1080"/>
        <w:gridCol w:w="214"/>
        <w:gridCol w:w="1548"/>
        <w:gridCol w:w="218"/>
        <w:gridCol w:w="720"/>
        <w:gridCol w:w="180"/>
        <w:gridCol w:w="4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姓名</w:t>
            </w:r>
          </w:p>
        </w:tc>
        <w:tc>
          <w:tcPr>
            <w:tcW w:w="2340" w:type="dxa"/>
            <w:gridSpan w:val="4"/>
            <w:vAlign w:val="center"/>
          </w:tcPr>
          <w:p>
            <w:pPr>
              <w:spacing w:before="20" w:after="20"/>
              <w:jc w:val="center"/>
              <w:rPr>
                <w:color w:val="000000" w:themeColor="text1"/>
                <w:sz w:val="18"/>
                <w:szCs w:val="18"/>
                <w14:textFill>
                  <w14:solidFill>
                    <w14:schemeClr w14:val="tx1"/>
                  </w14:solidFill>
                </w14:textFill>
              </w:rPr>
            </w:pPr>
          </w:p>
        </w:tc>
        <w:tc>
          <w:tcPr>
            <w:tcW w:w="1080"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1762" w:type="dxa"/>
            <w:gridSpan w:val="2"/>
            <w:vAlign w:val="center"/>
          </w:tcPr>
          <w:p>
            <w:pPr>
              <w:spacing w:before="20" w:after="20"/>
              <w:jc w:val="center"/>
              <w:rPr>
                <w:color w:val="000000" w:themeColor="text1"/>
                <w:sz w:val="18"/>
                <w:szCs w:val="18"/>
                <w14:textFill>
                  <w14:solidFill>
                    <w14:schemeClr w14:val="tx1"/>
                  </w14:solidFill>
                </w14:textFill>
              </w:rPr>
            </w:pPr>
          </w:p>
        </w:tc>
        <w:tc>
          <w:tcPr>
            <w:tcW w:w="1118"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年龄</w:t>
            </w:r>
          </w:p>
        </w:tc>
        <w:tc>
          <w:tcPr>
            <w:tcW w:w="1548" w:type="dxa"/>
            <w:gridSpan w:val="2"/>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职务</w:t>
            </w:r>
          </w:p>
        </w:tc>
        <w:tc>
          <w:tcPr>
            <w:tcW w:w="2340" w:type="dxa"/>
            <w:gridSpan w:val="4"/>
            <w:vAlign w:val="center"/>
          </w:tcPr>
          <w:p>
            <w:pPr>
              <w:spacing w:before="20" w:after="20"/>
              <w:jc w:val="center"/>
              <w:rPr>
                <w:color w:val="000000" w:themeColor="text1"/>
                <w:sz w:val="18"/>
                <w:szCs w:val="18"/>
                <w14:textFill>
                  <w14:solidFill>
                    <w14:schemeClr w14:val="tx1"/>
                  </w14:solidFill>
                </w14:textFill>
              </w:rPr>
            </w:pPr>
          </w:p>
        </w:tc>
        <w:tc>
          <w:tcPr>
            <w:tcW w:w="1080"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职称</w:t>
            </w:r>
          </w:p>
        </w:tc>
        <w:tc>
          <w:tcPr>
            <w:tcW w:w="1762" w:type="dxa"/>
            <w:gridSpan w:val="2"/>
            <w:vAlign w:val="center"/>
          </w:tcPr>
          <w:p>
            <w:pPr>
              <w:spacing w:before="20" w:after="20"/>
              <w:jc w:val="center"/>
              <w:rPr>
                <w:color w:val="000000" w:themeColor="text1"/>
                <w:sz w:val="18"/>
                <w:szCs w:val="18"/>
                <w14:textFill>
                  <w14:solidFill>
                    <w14:schemeClr w14:val="tx1"/>
                  </w14:solidFill>
                </w14:textFill>
              </w:rPr>
            </w:pPr>
          </w:p>
        </w:tc>
        <w:tc>
          <w:tcPr>
            <w:tcW w:w="1118"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学历</w:t>
            </w:r>
          </w:p>
        </w:tc>
        <w:tc>
          <w:tcPr>
            <w:tcW w:w="1548" w:type="dxa"/>
            <w:gridSpan w:val="2"/>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2"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参加工作时间</w:t>
            </w:r>
          </w:p>
        </w:tc>
        <w:tc>
          <w:tcPr>
            <w:tcW w:w="2554" w:type="dxa"/>
            <w:gridSpan w:val="4"/>
            <w:vAlign w:val="center"/>
          </w:tcPr>
          <w:p>
            <w:pPr>
              <w:spacing w:before="20" w:after="20"/>
              <w:jc w:val="center"/>
              <w:rPr>
                <w:color w:val="000000" w:themeColor="text1"/>
                <w:sz w:val="18"/>
                <w:szCs w:val="18"/>
                <w14:textFill>
                  <w14:solidFill>
                    <w14:schemeClr w14:val="tx1"/>
                  </w14:solidFill>
                </w14:textFill>
              </w:rPr>
            </w:pPr>
          </w:p>
        </w:tc>
        <w:tc>
          <w:tcPr>
            <w:tcW w:w="2486"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从事项目经理年限</w:t>
            </w:r>
          </w:p>
        </w:tc>
        <w:tc>
          <w:tcPr>
            <w:tcW w:w="1728" w:type="dxa"/>
            <w:gridSpan w:val="3"/>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2" w:type="dxa"/>
            <w:gridSpan w:val="5"/>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资格证书编号</w:t>
            </w:r>
          </w:p>
        </w:tc>
        <w:tc>
          <w:tcPr>
            <w:tcW w:w="5508" w:type="dxa"/>
            <w:gridSpan w:val="8"/>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1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783" w:type="dxa"/>
            <w:gridSpan w:val="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项目名称</w:t>
            </w:r>
          </w:p>
        </w:tc>
        <w:tc>
          <w:tcPr>
            <w:tcW w:w="1491"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规模/级别</w:t>
            </w:r>
          </w:p>
        </w:tc>
        <w:tc>
          <w:tcPr>
            <w:tcW w:w="1766" w:type="dxa"/>
            <w:gridSpan w:val="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项目开始和完成期</w:t>
            </w:r>
          </w:p>
        </w:tc>
        <w:tc>
          <w:tcPr>
            <w:tcW w:w="1368"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状态（在建或已完）</w:t>
            </w:r>
          </w:p>
        </w:tc>
        <w:tc>
          <w:tcPr>
            <w:tcW w:w="1080"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color w:val="000000" w:themeColor="text1"/>
                <w:sz w:val="18"/>
                <w:szCs w:val="18"/>
                <w14:textFill>
                  <w14:solidFill>
                    <w14:schemeClr w14:val="tx1"/>
                  </w14:solidFill>
                </w14:textFill>
              </w:rPr>
            </w:pPr>
          </w:p>
        </w:tc>
        <w:tc>
          <w:tcPr>
            <w:tcW w:w="1783" w:type="dxa"/>
            <w:gridSpan w:val="2"/>
            <w:vAlign w:val="center"/>
          </w:tcPr>
          <w:p>
            <w:pPr>
              <w:spacing w:before="20" w:after="20"/>
              <w:jc w:val="center"/>
              <w:rPr>
                <w:color w:val="000000" w:themeColor="text1"/>
                <w:sz w:val="18"/>
                <w:szCs w:val="18"/>
                <w14:textFill>
                  <w14:solidFill>
                    <w14:schemeClr w14:val="tx1"/>
                  </w14:solidFill>
                </w14:textFill>
              </w:rPr>
            </w:pPr>
          </w:p>
        </w:tc>
        <w:tc>
          <w:tcPr>
            <w:tcW w:w="1491" w:type="dxa"/>
            <w:gridSpan w:val="3"/>
            <w:vAlign w:val="center"/>
          </w:tcPr>
          <w:p>
            <w:pPr>
              <w:spacing w:before="20" w:after="20"/>
              <w:jc w:val="center"/>
              <w:rPr>
                <w:color w:val="000000" w:themeColor="text1"/>
                <w:sz w:val="18"/>
                <w:szCs w:val="18"/>
                <w14:textFill>
                  <w14:solidFill>
                    <w14:schemeClr w14:val="tx1"/>
                  </w14:solidFill>
                </w14:textFill>
              </w:rPr>
            </w:pPr>
          </w:p>
        </w:tc>
        <w:tc>
          <w:tcPr>
            <w:tcW w:w="1766" w:type="dxa"/>
            <w:gridSpan w:val="2"/>
            <w:vAlign w:val="center"/>
          </w:tcPr>
          <w:p>
            <w:pPr>
              <w:spacing w:before="20" w:after="20"/>
              <w:jc w:val="center"/>
              <w:rPr>
                <w:color w:val="000000" w:themeColor="text1"/>
                <w:sz w:val="18"/>
                <w:szCs w:val="18"/>
                <w14:textFill>
                  <w14:solidFill>
                    <w14:schemeClr w14:val="tx1"/>
                  </w14:solidFill>
                </w14:textFill>
              </w:rPr>
            </w:pPr>
          </w:p>
        </w:tc>
        <w:tc>
          <w:tcPr>
            <w:tcW w:w="1368" w:type="dxa"/>
            <w:gridSpan w:val="3"/>
            <w:vAlign w:val="center"/>
          </w:tcPr>
          <w:p>
            <w:pPr>
              <w:spacing w:before="20" w:after="20"/>
              <w:jc w:val="center"/>
              <w:rPr>
                <w:color w:val="000000" w:themeColor="text1"/>
                <w:sz w:val="18"/>
                <w:szCs w:val="18"/>
                <w14:textFill>
                  <w14:solidFill>
                    <w14:schemeClr w14:val="tx1"/>
                  </w14:solidFill>
                </w14:textFill>
              </w:rPr>
            </w:pPr>
          </w:p>
        </w:tc>
        <w:tc>
          <w:tcPr>
            <w:tcW w:w="1080" w:type="dxa"/>
            <w:vAlign w:val="center"/>
          </w:tcPr>
          <w:p>
            <w:pPr>
              <w:spacing w:before="20" w:after="20"/>
              <w:jc w:val="center"/>
              <w:rPr>
                <w:color w:val="000000" w:themeColor="text1"/>
                <w:sz w:val="18"/>
                <w:szCs w:val="18"/>
                <w14:textFill>
                  <w14:solidFill>
                    <w14:schemeClr w14:val="tx1"/>
                  </w14:solidFill>
                </w14:textFill>
              </w:rPr>
            </w:pPr>
          </w:p>
        </w:tc>
      </w:tr>
    </w:tbl>
    <w:p>
      <w:pPr>
        <w:spacing w:after="60"/>
        <w:jc w:val="center"/>
        <w:rPr>
          <w:rFonts w:eastAsia="黑体"/>
          <w:bCs/>
          <w:color w:val="000000" w:themeColor="text1"/>
          <w:sz w:val="24"/>
          <w14:textFill>
            <w14:solidFill>
              <w14:schemeClr w14:val="tx1"/>
            </w14:solidFill>
          </w14:textFill>
        </w:rPr>
      </w:pPr>
    </w:p>
    <w:p>
      <w:pPr>
        <w:spacing w:after="60"/>
        <w:jc w:val="center"/>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表3 项目负责人简历表</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359"/>
        <w:gridCol w:w="719"/>
        <w:gridCol w:w="1080"/>
        <w:gridCol w:w="1080"/>
        <w:gridCol w:w="152"/>
        <w:gridCol w:w="1790"/>
        <w:gridCol w:w="10"/>
        <w:gridCol w:w="928"/>
        <w:gridCol w:w="180"/>
        <w:gridCol w:w="263"/>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姓名</w:t>
            </w:r>
          </w:p>
        </w:tc>
        <w:tc>
          <w:tcPr>
            <w:tcW w:w="2158" w:type="dxa"/>
            <w:gridSpan w:val="3"/>
            <w:vAlign w:val="center"/>
          </w:tcPr>
          <w:p>
            <w:pPr>
              <w:spacing w:before="20" w:after="20"/>
              <w:jc w:val="center"/>
              <w:rPr>
                <w:color w:val="000000" w:themeColor="text1"/>
                <w:sz w:val="18"/>
                <w:szCs w:val="18"/>
                <w14:textFill>
                  <w14:solidFill>
                    <w14:schemeClr w14:val="tx1"/>
                  </w14:solidFill>
                </w14:textFill>
              </w:rPr>
            </w:pPr>
          </w:p>
        </w:tc>
        <w:tc>
          <w:tcPr>
            <w:tcW w:w="1080"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1942" w:type="dxa"/>
            <w:gridSpan w:val="2"/>
            <w:vAlign w:val="center"/>
          </w:tcPr>
          <w:p>
            <w:pPr>
              <w:spacing w:before="20" w:after="20"/>
              <w:jc w:val="center"/>
              <w:rPr>
                <w:color w:val="000000" w:themeColor="text1"/>
                <w:sz w:val="18"/>
                <w:szCs w:val="18"/>
                <w14:textFill>
                  <w14:solidFill>
                    <w14:schemeClr w14:val="tx1"/>
                  </w14:solidFill>
                </w14:textFill>
              </w:rPr>
            </w:pPr>
          </w:p>
        </w:tc>
        <w:tc>
          <w:tcPr>
            <w:tcW w:w="1118"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年龄</w:t>
            </w:r>
          </w:p>
        </w:tc>
        <w:tc>
          <w:tcPr>
            <w:tcW w:w="1551" w:type="dxa"/>
            <w:gridSpan w:val="2"/>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职务</w:t>
            </w:r>
          </w:p>
        </w:tc>
        <w:tc>
          <w:tcPr>
            <w:tcW w:w="2158" w:type="dxa"/>
            <w:gridSpan w:val="3"/>
            <w:vAlign w:val="center"/>
          </w:tcPr>
          <w:p>
            <w:pPr>
              <w:spacing w:before="20" w:after="20"/>
              <w:jc w:val="center"/>
              <w:rPr>
                <w:color w:val="000000" w:themeColor="text1"/>
                <w:sz w:val="18"/>
                <w:szCs w:val="18"/>
                <w14:textFill>
                  <w14:solidFill>
                    <w14:schemeClr w14:val="tx1"/>
                  </w14:solidFill>
                </w14:textFill>
              </w:rPr>
            </w:pPr>
          </w:p>
        </w:tc>
        <w:tc>
          <w:tcPr>
            <w:tcW w:w="1080"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职称</w:t>
            </w:r>
          </w:p>
        </w:tc>
        <w:tc>
          <w:tcPr>
            <w:tcW w:w="1942" w:type="dxa"/>
            <w:gridSpan w:val="2"/>
            <w:vAlign w:val="center"/>
          </w:tcPr>
          <w:p>
            <w:pPr>
              <w:spacing w:before="20" w:after="20"/>
              <w:jc w:val="center"/>
              <w:rPr>
                <w:color w:val="000000" w:themeColor="text1"/>
                <w:sz w:val="18"/>
                <w:szCs w:val="18"/>
                <w14:textFill>
                  <w14:solidFill>
                    <w14:schemeClr w14:val="tx1"/>
                  </w14:solidFill>
                </w14:textFill>
              </w:rPr>
            </w:pPr>
          </w:p>
        </w:tc>
        <w:tc>
          <w:tcPr>
            <w:tcW w:w="1118"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学历</w:t>
            </w:r>
          </w:p>
        </w:tc>
        <w:tc>
          <w:tcPr>
            <w:tcW w:w="1551" w:type="dxa"/>
            <w:gridSpan w:val="2"/>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参加工作时间</w:t>
            </w:r>
          </w:p>
        </w:tc>
        <w:tc>
          <w:tcPr>
            <w:tcW w:w="2160" w:type="dxa"/>
            <w:gridSpan w:val="2"/>
            <w:vAlign w:val="center"/>
          </w:tcPr>
          <w:p>
            <w:pPr>
              <w:spacing w:before="20" w:after="20"/>
              <w:jc w:val="center"/>
              <w:rPr>
                <w:color w:val="000000" w:themeColor="text1"/>
                <w:sz w:val="18"/>
                <w:szCs w:val="18"/>
                <w14:textFill>
                  <w14:solidFill>
                    <w14:schemeClr w14:val="tx1"/>
                  </w14:solidFill>
                </w14:textFill>
              </w:rPr>
            </w:pPr>
          </w:p>
        </w:tc>
        <w:tc>
          <w:tcPr>
            <w:tcW w:w="2880" w:type="dxa"/>
            <w:gridSpan w:val="4"/>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从事项目负责人年限</w:t>
            </w:r>
          </w:p>
        </w:tc>
        <w:tc>
          <w:tcPr>
            <w:tcW w:w="1731" w:type="dxa"/>
            <w:gridSpan w:val="3"/>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9" w:type="dxa"/>
            <w:gridSpan w:val="4"/>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资格证书编号</w:t>
            </w:r>
          </w:p>
        </w:tc>
        <w:tc>
          <w:tcPr>
            <w:tcW w:w="5691" w:type="dxa"/>
            <w:gridSpan w:val="8"/>
            <w:vAlign w:val="center"/>
          </w:tcPr>
          <w:p>
            <w:pPr>
              <w:spacing w:before="20" w:after="2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1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gridSpan w:val="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799" w:type="dxa"/>
            <w:gridSpan w:val="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项目名称</w:t>
            </w:r>
          </w:p>
        </w:tc>
        <w:tc>
          <w:tcPr>
            <w:tcW w:w="1232" w:type="dxa"/>
            <w:gridSpan w:val="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规模/级别</w:t>
            </w:r>
          </w:p>
        </w:tc>
        <w:tc>
          <w:tcPr>
            <w:tcW w:w="1800" w:type="dxa"/>
            <w:gridSpan w:val="2"/>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项目开始和完成期</w:t>
            </w:r>
          </w:p>
        </w:tc>
        <w:tc>
          <w:tcPr>
            <w:tcW w:w="1371" w:type="dxa"/>
            <w:gridSpan w:val="3"/>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状态（在建或已完）</w:t>
            </w:r>
          </w:p>
        </w:tc>
        <w:tc>
          <w:tcPr>
            <w:tcW w:w="1288" w:type="dxa"/>
            <w:vAlign w:val="center"/>
          </w:tcPr>
          <w:p>
            <w:pPr>
              <w:spacing w:before="20" w:after="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gridSpan w:val="2"/>
            <w:vAlign w:val="center"/>
          </w:tcPr>
          <w:p>
            <w:pPr>
              <w:spacing w:before="20" w:after="20"/>
              <w:jc w:val="center"/>
              <w:rPr>
                <w:color w:val="000000" w:themeColor="text1"/>
                <w:sz w:val="18"/>
                <w:szCs w:val="18"/>
                <w14:textFill>
                  <w14:solidFill>
                    <w14:schemeClr w14:val="tx1"/>
                  </w14:solidFill>
                </w14:textFill>
              </w:rPr>
            </w:pPr>
          </w:p>
        </w:tc>
        <w:tc>
          <w:tcPr>
            <w:tcW w:w="1799" w:type="dxa"/>
            <w:gridSpan w:val="2"/>
            <w:vAlign w:val="center"/>
          </w:tcPr>
          <w:p>
            <w:pPr>
              <w:spacing w:before="20" w:after="20"/>
              <w:jc w:val="center"/>
              <w:rPr>
                <w:color w:val="000000" w:themeColor="text1"/>
                <w:sz w:val="18"/>
                <w:szCs w:val="18"/>
                <w14:textFill>
                  <w14:solidFill>
                    <w14:schemeClr w14:val="tx1"/>
                  </w14:solidFill>
                </w14:textFill>
              </w:rPr>
            </w:pPr>
          </w:p>
        </w:tc>
        <w:tc>
          <w:tcPr>
            <w:tcW w:w="1232" w:type="dxa"/>
            <w:gridSpan w:val="2"/>
            <w:vAlign w:val="center"/>
          </w:tcPr>
          <w:p>
            <w:pPr>
              <w:spacing w:before="20" w:after="20"/>
              <w:jc w:val="center"/>
              <w:rPr>
                <w:color w:val="000000" w:themeColor="text1"/>
                <w:sz w:val="18"/>
                <w:szCs w:val="18"/>
                <w14:textFill>
                  <w14:solidFill>
                    <w14:schemeClr w14:val="tx1"/>
                  </w14:solidFill>
                </w14:textFill>
              </w:rPr>
            </w:pPr>
          </w:p>
        </w:tc>
        <w:tc>
          <w:tcPr>
            <w:tcW w:w="1800" w:type="dxa"/>
            <w:gridSpan w:val="2"/>
            <w:vAlign w:val="center"/>
          </w:tcPr>
          <w:p>
            <w:pPr>
              <w:spacing w:before="20" w:after="20"/>
              <w:jc w:val="center"/>
              <w:rPr>
                <w:color w:val="000000" w:themeColor="text1"/>
                <w:sz w:val="18"/>
                <w:szCs w:val="18"/>
                <w14:textFill>
                  <w14:solidFill>
                    <w14:schemeClr w14:val="tx1"/>
                  </w14:solidFill>
                </w14:textFill>
              </w:rPr>
            </w:pPr>
          </w:p>
        </w:tc>
        <w:tc>
          <w:tcPr>
            <w:tcW w:w="1371" w:type="dxa"/>
            <w:gridSpan w:val="3"/>
            <w:vAlign w:val="center"/>
          </w:tcPr>
          <w:p>
            <w:pPr>
              <w:spacing w:before="20" w:after="20"/>
              <w:jc w:val="center"/>
              <w:rPr>
                <w:color w:val="000000" w:themeColor="text1"/>
                <w:sz w:val="18"/>
                <w:szCs w:val="18"/>
                <w14:textFill>
                  <w14:solidFill>
                    <w14:schemeClr w14:val="tx1"/>
                  </w14:solidFill>
                </w14:textFill>
              </w:rPr>
            </w:pPr>
          </w:p>
        </w:tc>
        <w:tc>
          <w:tcPr>
            <w:tcW w:w="1288" w:type="dxa"/>
            <w:vAlign w:val="center"/>
          </w:tcPr>
          <w:p>
            <w:pPr>
              <w:spacing w:before="20" w:after="20"/>
              <w:jc w:val="center"/>
              <w:rPr>
                <w:color w:val="000000" w:themeColor="text1"/>
                <w:sz w:val="18"/>
                <w:szCs w:val="18"/>
                <w14:textFill>
                  <w14:solidFill>
                    <w14:schemeClr w14:val="tx1"/>
                  </w14:solidFill>
                </w14:textFill>
              </w:rPr>
            </w:pPr>
          </w:p>
        </w:tc>
      </w:tr>
    </w:tbl>
    <w:p>
      <w:pPr>
        <w:spacing w:after="60"/>
        <w:jc w:val="center"/>
        <w:rPr>
          <w:rFonts w:eastAsia="黑体"/>
          <w:bCs/>
          <w:color w:val="000000" w:themeColor="text1"/>
          <w:sz w:val="24"/>
          <w14:textFill>
            <w14:solidFill>
              <w14:schemeClr w14:val="tx1"/>
            </w14:solidFill>
          </w14:textFill>
        </w:rPr>
      </w:pPr>
    </w:p>
    <w:p>
      <w:pPr>
        <w:spacing w:after="60"/>
        <w:jc w:val="center"/>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表4  项目管理班子配备情况辅助说明资料</w:t>
      </w:r>
    </w:p>
    <w:tbl>
      <w:tblPr>
        <w:tblStyle w:val="24"/>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9360" w:type="dxa"/>
          </w:tcPr>
          <w:p>
            <w:pPr>
              <w:spacing w:line="360" w:lineRule="auto"/>
              <w:rPr>
                <w:b/>
                <w:bCs/>
                <w:color w:val="000000" w:themeColor="text1"/>
                <w14:textFill>
                  <w14:solidFill>
                    <w14:schemeClr w14:val="tx1"/>
                  </w14:solidFill>
                </w14:textFill>
              </w:rPr>
            </w:pPr>
          </w:p>
        </w:tc>
      </w:tr>
    </w:tbl>
    <w:p>
      <w:pPr>
        <w:rPr>
          <w:rFonts w:eastAsia="楷体_GB2312"/>
          <w:b/>
          <w:bCs/>
          <w:color w:val="000000" w:themeColor="text1"/>
          <w14:textFill>
            <w14:solidFill>
              <w14:schemeClr w14:val="tx1"/>
            </w14:solidFill>
          </w14:textFill>
        </w:rPr>
      </w:pPr>
      <w:r>
        <w:rPr>
          <w:b/>
          <w:bCs/>
          <w:color w:val="000000" w:themeColor="text1"/>
          <w14:textFill>
            <w14:solidFill>
              <w14:schemeClr w14:val="tx1"/>
            </w14:solidFill>
          </w14:textFill>
        </w:rPr>
        <w:t>注：</w:t>
      </w:r>
      <w:r>
        <w:rPr>
          <w:bCs/>
          <w:color w:val="000000" w:themeColor="text1"/>
          <w14:textFill>
            <w14:solidFill>
              <w14:schemeClr w14:val="tx1"/>
            </w14:solidFill>
          </w14:textFill>
        </w:rPr>
        <w:t>辅助说明资料主要包括管理班子机构设置、职责分工、有关复印证明资料以及投标人认为有必要提供的资料，辅助说明资料格式不做统一规定，由投标人自行设计</w:t>
      </w:r>
      <w:r>
        <w:rPr>
          <w:rFonts w:eastAsia="楷体_GB2312"/>
          <w:bCs/>
          <w:color w:val="000000" w:themeColor="text1"/>
          <w14:textFill>
            <w14:solidFill>
              <w14:schemeClr w14:val="tx1"/>
            </w14:solidFill>
          </w14:textFill>
        </w:rPr>
        <w:t>。</w:t>
      </w:r>
    </w:p>
    <w:p>
      <w:pPr>
        <w:spacing w:line="360" w:lineRule="auto"/>
        <w:ind w:firstLine="316" w:firstLineChars="1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附上证书复印件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120" w:after="120"/>
        <w:jc w:val="center"/>
        <w:rPr>
          <w:color w:val="000000" w:themeColor="text1"/>
          <w14:textFill>
            <w14:solidFill>
              <w14:schemeClr w14:val="tx1"/>
            </w14:solidFill>
          </w14:textFill>
        </w:rPr>
      </w:pPr>
      <w:r>
        <w:rPr>
          <w:color w:val="000000" w:themeColor="text1"/>
          <w14:textFill>
            <w14:solidFill>
              <w14:schemeClr w14:val="tx1"/>
            </w14:solidFill>
          </w14:textFill>
        </w:rPr>
        <w:t>九、项目实施方案</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主要内容应包括（可根据项目实际情况适当调整内容）</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1.项目策划；</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 项目所采用开发技术；</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3. </w:t>
      </w:r>
      <w:r>
        <w:rPr>
          <w:rFonts w:hint="eastAsia"/>
          <w:color w:val="000000" w:themeColor="text1"/>
          <w14:textFill>
            <w14:solidFill>
              <w14:schemeClr w14:val="tx1"/>
            </w14:solidFill>
          </w14:textFill>
        </w:rPr>
        <w:t>进度计划；</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4. </w:t>
      </w:r>
      <w:r>
        <w:rPr>
          <w:rFonts w:hint="eastAsia"/>
          <w:color w:val="000000" w:themeColor="text1"/>
          <w14:textFill>
            <w14:solidFill>
              <w14:schemeClr w14:val="tx1"/>
            </w14:solidFill>
          </w14:textFill>
        </w:rPr>
        <w:t>开发流程</w:t>
      </w:r>
      <w:r>
        <w:rPr>
          <w:bCs/>
          <w:color w:val="000000" w:themeColor="text1"/>
          <w:szCs w:val="21"/>
          <w14:textFill>
            <w14:solidFill>
              <w14:schemeClr w14:val="tx1"/>
            </w14:solidFill>
          </w14:textFill>
        </w:rPr>
        <w:t>；</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5. </w:t>
      </w:r>
      <w:r>
        <w:rPr>
          <w:rFonts w:hint="eastAsia"/>
          <w:color w:val="000000" w:themeColor="text1"/>
          <w14:textFill>
            <w14:solidFill>
              <w14:schemeClr w14:val="tx1"/>
            </w14:solidFill>
          </w14:textFill>
        </w:rPr>
        <w:t>项目管理系统应用</w:t>
      </w:r>
      <w:r>
        <w:rPr>
          <w:bCs/>
          <w:color w:val="000000" w:themeColor="text1"/>
          <w:szCs w:val="21"/>
          <w14:textFill>
            <w14:solidFill>
              <w14:schemeClr w14:val="tx1"/>
            </w14:solidFill>
          </w14:textFill>
        </w:rPr>
        <w:t>；</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 其它相关配套措施。</w:t>
      </w:r>
    </w:p>
    <w:p>
      <w:pPr>
        <w:rPr>
          <w:bCs/>
          <w:color w:val="000000" w:themeColor="text1"/>
          <w:szCs w:val="21"/>
          <w14:textFill>
            <w14:solidFill>
              <w14:schemeClr w14:val="tx1"/>
            </w14:solidFill>
          </w14:textFill>
        </w:rPr>
      </w:pPr>
    </w:p>
    <w:p>
      <w:pPr>
        <w:pStyle w:val="3"/>
        <w:spacing w:before="120" w:after="120"/>
        <w:jc w:val="center"/>
        <w:rPr>
          <w:color w:val="000000" w:themeColor="text1"/>
          <w14:textFill>
            <w14:solidFill>
              <w14:schemeClr w14:val="tx1"/>
            </w14:solidFill>
          </w14:textFill>
        </w:rPr>
      </w:pPr>
      <w:r>
        <w:rPr>
          <w:color w:val="000000" w:themeColor="text1"/>
          <w14:textFill>
            <w14:solidFill>
              <w14:schemeClr w14:val="tx1"/>
            </w14:solidFill>
          </w14:textFill>
        </w:rPr>
        <w:t>十、服务条款</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主要内容应包括(根据项目实际情况适当调整内容)：</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1．优质服务项目</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2．服务机构介绍</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4．非免费服务收费标准</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5．质量保证及违约承诺（在履约期间如出现违约情况时所承担的责任和义务）；</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6．培训措施及相关服务承诺。</w:t>
      </w:r>
    </w:p>
    <w:p>
      <w:pPr>
        <w:pStyle w:val="3"/>
        <w:spacing w:before="120" w:after="120"/>
        <w:jc w:val="center"/>
        <w:rPr>
          <w:color w:val="000000" w:themeColor="text1"/>
          <w14:textFill>
            <w14:solidFill>
              <w14:schemeClr w14:val="tx1"/>
            </w14:solidFill>
          </w14:textFill>
        </w:rPr>
      </w:pPr>
      <w:r>
        <w:rPr>
          <w:color w:val="000000" w:themeColor="text1"/>
          <w14:textFill>
            <w14:solidFill>
              <w14:schemeClr w14:val="tx1"/>
            </w14:solidFill>
          </w14:textFill>
        </w:rPr>
        <w:t>十一、商务条款偏离表</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投标人名称：项目编号：</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1971"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招标文件商务条款</w:t>
            </w:r>
          </w:p>
        </w:tc>
        <w:tc>
          <w:tcPr>
            <w:tcW w:w="1971"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投标文件商务条款</w:t>
            </w:r>
          </w:p>
        </w:tc>
        <w:tc>
          <w:tcPr>
            <w:tcW w:w="1971"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偏离情况</w:t>
            </w:r>
          </w:p>
        </w:tc>
        <w:tc>
          <w:tcPr>
            <w:tcW w:w="1971"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bCs/>
                <w:color w:val="000000" w:themeColor="text1"/>
                <w:szCs w:val="21"/>
                <w14:textFill>
                  <w14:solidFill>
                    <w14:schemeClr w14:val="tx1"/>
                  </w14:solidFill>
                </w14:textFill>
              </w:rPr>
            </w:pPr>
          </w:p>
        </w:tc>
        <w:tc>
          <w:tcPr>
            <w:tcW w:w="1971" w:type="dxa"/>
          </w:tcPr>
          <w:p>
            <w:pPr>
              <w:rPr>
                <w:bCs/>
                <w:color w:val="000000" w:themeColor="text1"/>
                <w:szCs w:val="21"/>
                <w14:textFill>
                  <w14:solidFill>
                    <w14:schemeClr w14:val="tx1"/>
                  </w14:solidFill>
                </w14:textFill>
              </w:rPr>
            </w:pPr>
          </w:p>
        </w:tc>
        <w:tc>
          <w:tcPr>
            <w:tcW w:w="1971" w:type="dxa"/>
          </w:tcPr>
          <w:p>
            <w:pPr>
              <w:rPr>
                <w:bCs/>
                <w:color w:val="000000" w:themeColor="text1"/>
                <w:szCs w:val="21"/>
                <w14:textFill>
                  <w14:solidFill>
                    <w14:schemeClr w14:val="tx1"/>
                  </w14:solidFill>
                </w14:textFill>
              </w:rPr>
            </w:pPr>
          </w:p>
        </w:tc>
        <w:tc>
          <w:tcPr>
            <w:tcW w:w="1971" w:type="dxa"/>
          </w:tcPr>
          <w:p>
            <w:pPr>
              <w:rPr>
                <w:bCs/>
                <w:color w:val="000000" w:themeColor="text1"/>
                <w:szCs w:val="21"/>
                <w14:textFill>
                  <w14:solidFill>
                    <w14:schemeClr w14:val="tx1"/>
                  </w14:solidFill>
                </w14:textFill>
              </w:rPr>
            </w:pPr>
          </w:p>
        </w:tc>
        <w:tc>
          <w:tcPr>
            <w:tcW w:w="1971" w:type="dxa"/>
          </w:tcPr>
          <w:p>
            <w:pPr>
              <w:rPr>
                <w:bCs/>
                <w:color w:val="000000" w:themeColor="text1"/>
                <w:szCs w:val="21"/>
                <w14:textFill>
                  <w14:solidFill>
                    <w14:schemeClr w14:val="tx1"/>
                  </w14:solidFill>
                </w14:textFill>
              </w:rPr>
            </w:pPr>
          </w:p>
        </w:tc>
      </w:tr>
    </w:tbl>
    <w:p>
      <w:pPr>
        <w:pStyle w:val="3"/>
        <w:spacing w:before="120" w:after="120"/>
        <w:jc w:val="center"/>
        <w:rPr>
          <w:color w:val="000000" w:themeColor="text1"/>
          <w14:textFill>
            <w14:solidFill>
              <w14:schemeClr w14:val="tx1"/>
            </w14:solidFill>
          </w14:textFill>
        </w:rPr>
      </w:pPr>
      <w:r>
        <w:rPr>
          <w:color w:val="000000" w:themeColor="text1"/>
          <w14:textFill>
            <w14:solidFill>
              <w14:schemeClr w14:val="tx1"/>
            </w14:solidFill>
          </w14:textFill>
        </w:rPr>
        <w:t>十二、技术规格偏离表</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投标人名称：项目编号：</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1642"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服务名称</w:t>
            </w:r>
          </w:p>
        </w:tc>
        <w:tc>
          <w:tcPr>
            <w:tcW w:w="1642"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招标要求</w:t>
            </w:r>
          </w:p>
        </w:tc>
        <w:tc>
          <w:tcPr>
            <w:tcW w:w="1642"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投标要求</w:t>
            </w:r>
          </w:p>
        </w:tc>
        <w:tc>
          <w:tcPr>
            <w:tcW w:w="1643"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偏离情况</w:t>
            </w:r>
          </w:p>
        </w:tc>
        <w:tc>
          <w:tcPr>
            <w:tcW w:w="1643"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rPr>
                <w:bCs/>
                <w:color w:val="000000" w:themeColor="text1"/>
                <w:szCs w:val="21"/>
                <w14:textFill>
                  <w14:solidFill>
                    <w14:schemeClr w14:val="tx1"/>
                  </w14:solidFill>
                </w14:textFill>
              </w:rPr>
            </w:pPr>
          </w:p>
        </w:tc>
        <w:tc>
          <w:tcPr>
            <w:tcW w:w="1642" w:type="dxa"/>
          </w:tcPr>
          <w:p>
            <w:pPr>
              <w:rPr>
                <w:bCs/>
                <w:color w:val="000000" w:themeColor="text1"/>
                <w:szCs w:val="21"/>
                <w14:textFill>
                  <w14:solidFill>
                    <w14:schemeClr w14:val="tx1"/>
                  </w14:solidFill>
                </w14:textFill>
              </w:rPr>
            </w:pPr>
          </w:p>
        </w:tc>
        <w:tc>
          <w:tcPr>
            <w:tcW w:w="1642" w:type="dxa"/>
          </w:tcPr>
          <w:p>
            <w:pPr>
              <w:rPr>
                <w:bCs/>
                <w:color w:val="000000" w:themeColor="text1"/>
                <w:szCs w:val="21"/>
                <w14:textFill>
                  <w14:solidFill>
                    <w14:schemeClr w14:val="tx1"/>
                  </w14:solidFill>
                </w14:textFill>
              </w:rPr>
            </w:pPr>
          </w:p>
        </w:tc>
        <w:tc>
          <w:tcPr>
            <w:tcW w:w="1642" w:type="dxa"/>
          </w:tcPr>
          <w:p>
            <w:pPr>
              <w:rPr>
                <w:bCs/>
                <w:color w:val="000000" w:themeColor="text1"/>
                <w:szCs w:val="21"/>
                <w14:textFill>
                  <w14:solidFill>
                    <w14:schemeClr w14:val="tx1"/>
                  </w14:solidFill>
                </w14:textFill>
              </w:rPr>
            </w:pPr>
          </w:p>
        </w:tc>
        <w:tc>
          <w:tcPr>
            <w:tcW w:w="1643" w:type="dxa"/>
          </w:tcPr>
          <w:p>
            <w:pPr>
              <w:rPr>
                <w:bCs/>
                <w:color w:val="000000" w:themeColor="text1"/>
                <w:szCs w:val="21"/>
                <w14:textFill>
                  <w14:solidFill>
                    <w14:schemeClr w14:val="tx1"/>
                  </w14:solidFill>
                </w14:textFill>
              </w:rPr>
            </w:pPr>
          </w:p>
        </w:tc>
        <w:tc>
          <w:tcPr>
            <w:tcW w:w="1643" w:type="dxa"/>
          </w:tcPr>
          <w:p>
            <w:pPr>
              <w:rPr>
                <w:bCs/>
                <w:color w:val="000000" w:themeColor="text1"/>
                <w:szCs w:val="21"/>
                <w14:textFill>
                  <w14:solidFill>
                    <w14:schemeClr w14:val="tx1"/>
                  </w14:solidFill>
                </w14:textFill>
              </w:rPr>
            </w:pPr>
          </w:p>
        </w:tc>
      </w:tr>
    </w:tbl>
    <w:p>
      <w:pPr>
        <w:autoSpaceDE w:val="0"/>
        <w:autoSpaceDN w:val="0"/>
        <w:adjustRightInd w:val="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 xml:space="preserve">说明： </w:t>
      </w:r>
    </w:p>
    <w:p>
      <w:pPr>
        <w:adjustRightInd w:val="0"/>
        <w:snapToGrid w:val="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投标人必须对应招标文件的第</w:t>
      </w:r>
      <w:r>
        <w:rPr>
          <w:rFonts w:hint="eastAsia"/>
          <w:bCs/>
          <w:color w:val="000000" w:themeColor="text1"/>
          <w:szCs w:val="21"/>
          <w14:textFill>
            <w14:solidFill>
              <w14:schemeClr w14:val="tx1"/>
            </w14:solidFill>
          </w14:textFill>
        </w:rPr>
        <w:t>二</w:t>
      </w:r>
      <w:r>
        <w:rPr>
          <w:bCs/>
          <w:color w:val="000000" w:themeColor="text1"/>
          <w:szCs w:val="21"/>
          <w14:textFill>
            <w14:solidFill>
              <w14:schemeClr w14:val="tx1"/>
            </w14:solidFill>
          </w14:textFill>
        </w:rPr>
        <w:t>部分</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用户需求书</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的技术/</w:t>
      </w:r>
      <w:r>
        <w:rPr>
          <w:rFonts w:hint="eastAsia"/>
          <w:bCs/>
          <w:color w:val="000000" w:themeColor="text1"/>
          <w:szCs w:val="21"/>
          <w14:textFill>
            <w14:solidFill>
              <w14:schemeClr w14:val="tx1"/>
            </w14:solidFill>
          </w14:textFill>
        </w:rPr>
        <w:t>商务</w:t>
      </w:r>
      <w:r>
        <w:rPr>
          <w:bCs/>
          <w:color w:val="000000" w:themeColor="text1"/>
          <w:szCs w:val="21"/>
          <w14:textFill>
            <w14:solidFill>
              <w14:schemeClr w14:val="tx1"/>
            </w14:solidFill>
          </w14:textFill>
        </w:rPr>
        <w:t xml:space="preserve">要求内容逐条响应。无偏离描述内容的视为投标人完全接受招标要求。在偏离简述栏中必须标明技术及配置的实际响应情况 </w:t>
      </w:r>
    </w:p>
    <w:p>
      <w:pPr>
        <w:adjustRightInd w:val="0"/>
        <w:snapToGrid w:val="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①</w:t>
      </w:r>
      <w:r>
        <w:rPr>
          <w:bCs/>
          <w:color w:val="000000" w:themeColor="text1"/>
          <w:szCs w:val="21"/>
          <w14:textFill>
            <w14:solidFill>
              <w14:schemeClr w14:val="tx1"/>
            </w14:solidFill>
          </w14:textFill>
        </w:rPr>
        <w:t xml:space="preserve"> 投标响应的实际情况全部符合招标技术规格、要求的，偏离简述中才能填写“完全符合”； </w:t>
      </w:r>
    </w:p>
    <w:p>
      <w:pPr>
        <w:adjustRightInd w:val="0"/>
        <w:snapToGrid w:val="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②</w:t>
      </w:r>
      <w:r>
        <w:rPr>
          <w:bCs/>
          <w:color w:val="000000" w:themeColor="text1"/>
          <w:szCs w:val="21"/>
          <w14:textFill>
            <w14:solidFill>
              <w14:schemeClr w14:val="tx1"/>
            </w14:solidFill>
          </w14:textFill>
        </w:rPr>
        <w:t xml:space="preserve"> 投标响应的实际情况全部符合招标技术规格、要求的，并且其中有一个或以上指标优于招标文件要求的，偏离简述中可填写“正偏离”； </w:t>
      </w:r>
    </w:p>
    <w:p>
      <w:pPr>
        <w:adjustRightInd w:val="0"/>
        <w:snapToGrid w:val="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③</w:t>
      </w:r>
      <w:r>
        <w:rPr>
          <w:bCs/>
          <w:color w:val="000000" w:themeColor="text1"/>
          <w:szCs w:val="21"/>
          <w14:textFill>
            <w14:solidFill>
              <w14:schemeClr w14:val="tx1"/>
            </w14:solidFill>
          </w14:textFill>
        </w:rPr>
        <w:t xml:space="preserve"> 投标响应的实际情况有任何一项不能达到招标规格要求的，偏离简述中必须填写“负偏离”。</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br w:type="page"/>
      </w:r>
    </w:p>
    <w:bookmarkEnd w:id="223"/>
    <w:p>
      <w:pPr>
        <w:ind w:left="420" w:leftChars="200" w:firstLine="5565" w:firstLineChars="2650"/>
        <w:rPr>
          <w:bCs/>
          <w:color w:val="000000" w:themeColor="text1"/>
          <w:szCs w:val="21"/>
          <w14:textFill>
            <w14:solidFill>
              <w14:schemeClr w14:val="tx1"/>
            </w14:solidFill>
          </w14:textFill>
        </w:rPr>
      </w:pPr>
    </w:p>
    <w:p>
      <w:pPr>
        <w:ind w:left="420" w:leftChars="200"/>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十三、诚信承诺函</w:t>
      </w:r>
    </w:p>
    <w:p>
      <w:pPr>
        <w:ind w:left="420" w:leftChars="200"/>
        <w:rPr>
          <w:color w:val="000000" w:themeColor="text1"/>
          <w:sz w:val="24"/>
          <w14:textFill>
            <w14:solidFill>
              <w14:schemeClr w14:val="tx1"/>
            </w14:solidFill>
          </w14:textFill>
        </w:rPr>
      </w:pPr>
    </w:p>
    <w:p>
      <w:pPr>
        <w:ind w:left="420" w:leftChars="200"/>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rFonts w:hint="eastAsia"/>
          <w:color w:val="000000" w:themeColor="text1"/>
          <w:kern w:val="0"/>
          <w:sz w:val="24"/>
          <w14:textFill>
            <w14:solidFill>
              <w14:schemeClr w14:val="tx1"/>
            </w14:solidFill>
          </w14:textFill>
        </w:rPr>
        <w:t>哈尔滨工业大学（深圳）</w:t>
      </w:r>
    </w:p>
    <w:p>
      <w:pPr>
        <w:ind w:left="420" w:leftChars="200"/>
        <w:rPr>
          <w:color w:val="000000" w:themeColor="text1"/>
          <w:sz w:val="24"/>
          <w14:textFill>
            <w14:solidFill>
              <w14:schemeClr w14:val="tx1"/>
            </w14:solidFill>
          </w14:textFill>
        </w:rPr>
      </w:pP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我公司承诺，在政府采购中无下列行为：</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（一）被纪检监察部门立案调查，违法违规事实成立的；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（二）未按规定签订、履行采购合同，造成严重后果的；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（三）隐瞒真实情况，提供虚假资料的；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（四）以非法手段排斥其他供应商参与竞争的；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（五）与其他采购参加人串通投标的；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（六）在采购活动中应当回避而未回避的；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（七）恶意投诉的；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（八）向采购项目相关人行贿或者提供其他不当利益的；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（九）阻碍、抗拒主管部门监督检查的；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（十）履约检查不及格或评价为差的；</w:t>
      </w:r>
    </w:p>
    <w:p>
      <w:pPr>
        <w:ind w:left="420" w:leftChars="200" w:firstLine="540"/>
        <w:rPr>
          <w:color w:val="000000" w:themeColor="text1"/>
          <w:sz w:val="24"/>
          <w14:textFill>
            <w14:solidFill>
              <w14:schemeClr w14:val="tx1"/>
            </w14:solidFill>
          </w14:textFill>
        </w:rPr>
      </w:pPr>
      <w:r>
        <w:rPr>
          <w:color w:val="000000" w:themeColor="text1"/>
          <w:sz w:val="24"/>
          <w14:textFill>
            <w14:solidFill>
              <w14:schemeClr w14:val="tx1"/>
            </w14:solidFill>
          </w14:textFill>
        </w:rPr>
        <w:t>（十一）主管部门认为的其他情形。</w:t>
      </w:r>
    </w:p>
    <w:p>
      <w:pPr>
        <w:ind w:left="420" w:leftChars="200" w:firstLine="645"/>
        <w:rPr>
          <w:color w:val="000000" w:themeColor="text1"/>
          <w:sz w:val="24"/>
          <w14:textFill>
            <w14:solidFill>
              <w14:schemeClr w14:val="tx1"/>
            </w14:solidFill>
          </w14:textFill>
        </w:rPr>
      </w:pPr>
    </w:p>
    <w:p>
      <w:pPr>
        <w:ind w:left="420" w:leftChars="200" w:firstLine="645"/>
        <w:rPr>
          <w:color w:val="000000" w:themeColor="text1"/>
          <w:sz w:val="24"/>
          <w14:textFill>
            <w14:solidFill>
              <w14:schemeClr w14:val="tx1"/>
            </w14:solidFill>
          </w14:textFill>
        </w:rPr>
      </w:pPr>
    </w:p>
    <w:p>
      <w:pPr>
        <w:ind w:left="420" w:leftChars="200" w:firstLine="4960" w:firstLineChars="2067"/>
        <w:rPr>
          <w:color w:val="000000" w:themeColor="text1"/>
          <w:sz w:val="24"/>
          <w14:textFill>
            <w14:solidFill>
              <w14:schemeClr w14:val="tx1"/>
            </w14:solidFill>
          </w14:textFill>
        </w:rPr>
      </w:pPr>
      <w:r>
        <w:rPr>
          <w:color w:val="000000" w:themeColor="text1"/>
          <w:sz w:val="24"/>
          <w14:textFill>
            <w14:solidFill>
              <w14:schemeClr w14:val="tx1"/>
            </w14:solidFill>
          </w14:textFill>
        </w:rPr>
        <w:t>公司名称</w:t>
      </w:r>
      <w:r>
        <w:rPr>
          <w:color w:val="000000" w:themeColor="text1"/>
          <w14:textFill>
            <w14:solidFill>
              <w14:schemeClr w14:val="tx1"/>
            </w14:solidFill>
          </w14:textFill>
        </w:rPr>
        <w:t>（</w:t>
      </w:r>
      <w:r>
        <w:rPr>
          <w:b/>
          <w:color w:val="000000" w:themeColor="text1"/>
          <w14:textFill>
            <w14:solidFill>
              <w14:schemeClr w14:val="tx1"/>
            </w14:solidFill>
          </w14:textFill>
        </w:rPr>
        <w:t>加盖单位公章）</w:t>
      </w:r>
      <w:r>
        <w:rPr>
          <w:color w:val="000000" w:themeColor="text1"/>
          <w:sz w:val="24"/>
          <w14:textFill>
            <w14:solidFill>
              <w14:schemeClr w14:val="tx1"/>
            </w14:solidFill>
          </w14:textFill>
        </w:rPr>
        <w:t>：</w:t>
      </w:r>
    </w:p>
    <w:p>
      <w:pPr>
        <w:ind w:left="420" w:leftChars="200" w:firstLine="645"/>
        <w:rPr>
          <w:color w:val="000000" w:themeColor="text1"/>
          <w:sz w:val="24"/>
          <w14:textFill>
            <w14:solidFill>
              <w14:schemeClr w14:val="tx1"/>
            </w14:solidFill>
          </w14:textFill>
        </w:rPr>
      </w:pPr>
    </w:p>
    <w:p>
      <w:pPr>
        <w:ind w:left="420" w:left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p>
    <w:sectPr>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29</w:t>
    </w:r>
    <w:r>
      <w:rPr>
        <w:rStyle w:val="28"/>
      </w:rPr>
      <w:fldChar w:fldCharType="end"/>
    </w:r>
  </w:p>
  <w:p>
    <w:pPr>
      <w:pStyle w:val="15"/>
    </w:pPr>
  </w:p>
  <w:p>
    <w:pPr>
      <w:pStyle w:val="15"/>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50165</wp:posOffset>
              </wp:positionV>
              <wp:extent cx="6092190" cy="0"/>
              <wp:effectExtent l="0" t="0" r="22860" b="1905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0pt;margin-top:3.95pt;height:0pt;width:479.7pt;z-index:251659264;mso-width-relative:page;mso-height-relative:page;" filled="f" stroked="t" coordsize="21600,21600" o:gfxdata="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kgH+HSAAAABAEAAA8AAAAAAAAAAQAgAAAAIgAAAGRycy9kb3ducmV2&#10;LnhtbFBLAQIUABQAAAAIAIdO4kD+ldp6yQEAAJ8DAAAOAAAAAAAAAAEAIAAAACEBAABkcnMvZTJv&#10;RG9jLnhtbFBLBQYAAAAABgAGAFkBAABcBQ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hideSpellingErrors/>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ZWY2YjNkYmRjNDhiNTUwZmZlM2NiYzU1NzA2NTUifQ=="/>
  </w:docVars>
  <w:rsids>
    <w:rsidRoot w:val="00172A27"/>
    <w:rsid w:val="000005AC"/>
    <w:rsid w:val="0000136E"/>
    <w:rsid w:val="00002006"/>
    <w:rsid w:val="00002100"/>
    <w:rsid w:val="000036D6"/>
    <w:rsid w:val="00004887"/>
    <w:rsid w:val="00004906"/>
    <w:rsid w:val="00004BEA"/>
    <w:rsid w:val="00005C27"/>
    <w:rsid w:val="0000670A"/>
    <w:rsid w:val="00006E2A"/>
    <w:rsid w:val="00007073"/>
    <w:rsid w:val="0000722D"/>
    <w:rsid w:val="00010490"/>
    <w:rsid w:val="000104C9"/>
    <w:rsid w:val="00010B8D"/>
    <w:rsid w:val="00010DC3"/>
    <w:rsid w:val="00011A45"/>
    <w:rsid w:val="00011AE6"/>
    <w:rsid w:val="00012113"/>
    <w:rsid w:val="00012BC4"/>
    <w:rsid w:val="00012F81"/>
    <w:rsid w:val="000135B8"/>
    <w:rsid w:val="00014625"/>
    <w:rsid w:val="00014E82"/>
    <w:rsid w:val="00016458"/>
    <w:rsid w:val="0001645D"/>
    <w:rsid w:val="000165EF"/>
    <w:rsid w:val="000208F8"/>
    <w:rsid w:val="00021304"/>
    <w:rsid w:val="00021B2E"/>
    <w:rsid w:val="00022815"/>
    <w:rsid w:val="00022C27"/>
    <w:rsid w:val="00022F4F"/>
    <w:rsid w:val="00022FA9"/>
    <w:rsid w:val="000239C2"/>
    <w:rsid w:val="00024CE2"/>
    <w:rsid w:val="0002501A"/>
    <w:rsid w:val="000259A0"/>
    <w:rsid w:val="00025B21"/>
    <w:rsid w:val="00027106"/>
    <w:rsid w:val="00027415"/>
    <w:rsid w:val="000274F7"/>
    <w:rsid w:val="00030558"/>
    <w:rsid w:val="000307C5"/>
    <w:rsid w:val="00030D45"/>
    <w:rsid w:val="00030D77"/>
    <w:rsid w:val="00031887"/>
    <w:rsid w:val="000319D1"/>
    <w:rsid w:val="00034043"/>
    <w:rsid w:val="0003479B"/>
    <w:rsid w:val="0003524E"/>
    <w:rsid w:val="000367ED"/>
    <w:rsid w:val="000372E9"/>
    <w:rsid w:val="00037573"/>
    <w:rsid w:val="0003762A"/>
    <w:rsid w:val="0003795A"/>
    <w:rsid w:val="000403D0"/>
    <w:rsid w:val="00041F81"/>
    <w:rsid w:val="0004275D"/>
    <w:rsid w:val="00043D2B"/>
    <w:rsid w:val="000447F6"/>
    <w:rsid w:val="00045923"/>
    <w:rsid w:val="00045EB5"/>
    <w:rsid w:val="00046595"/>
    <w:rsid w:val="00047852"/>
    <w:rsid w:val="00050F73"/>
    <w:rsid w:val="00051378"/>
    <w:rsid w:val="00051C45"/>
    <w:rsid w:val="00053293"/>
    <w:rsid w:val="000545F7"/>
    <w:rsid w:val="0005526E"/>
    <w:rsid w:val="00055D4A"/>
    <w:rsid w:val="00056374"/>
    <w:rsid w:val="00056617"/>
    <w:rsid w:val="00056B16"/>
    <w:rsid w:val="00057655"/>
    <w:rsid w:val="00060526"/>
    <w:rsid w:val="00060C79"/>
    <w:rsid w:val="0006264D"/>
    <w:rsid w:val="0006301D"/>
    <w:rsid w:val="00064C51"/>
    <w:rsid w:val="00066813"/>
    <w:rsid w:val="00066A49"/>
    <w:rsid w:val="00066ACC"/>
    <w:rsid w:val="0006745C"/>
    <w:rsid w:val="00067A1B"/>
    <w:rsid w:val="00070384"/>
    <w:rsid w:val="000708DA"/>
    <w:rsid w:val="00071A23"/>
    <w:rsid w:val="0007211D"/>
    <w:rsid w:val="00072A0E"/>
    <w:rsid w:val="000730F3"/>
    <w:rsid w:val="00073B23"/>
    <w:rsid w:val="000744C1"/>
    <w:rsid w:val="00074554"/>
    <w:rsid w:val="00074BEF"/>
    <w:rsid w:val="00075151"/>
    <w:rsid w:val="00075AD5"/>
    <w:rsid w:val="00076F11"/>
    <w:rsid w:val="00080168"/>
    <w:rsid w:val="00080462"/>
    <w:rsid w:val="00080A90"/>
    <w:rsid w:val="000811F0"/>
    <w:rsid w:val="00081B06"/>
    <w:rsid w:val="000820E6"/>
    <w:rsid w:val="000824E9"/>
    <w:rsid w:val="000825F6"/>
    <w:rsid w:val="00082956"/>
    <w:rsid w:val="00082ABE"/>
    <w:rsid w:val="00083D3F"/>
    <w:rsid w:val="00083E84"/>
    <w:rsid w:val="00085134"/>
    <w:rsid w:val="00085317"/>
    <w:rsid w:val="00085419"/>
    <w:rsid w:val="000855C1"/>
    <w:rsid w:val="0008596C"/>
    <w:rsid w:val="00085F7A"/>
    <w:rsid w:val="00085FFE"/>
    <w:rsid w:val="000866A3"/>
    <w:rsid w:val="00086F62"/>
    <w:rsid w:val="0008752D"/>
    <w:rsid w:val="00090532"/>
    <w:rsid w:val="0009127F"/>
    <w:rsid w:val="0009133A"/>
    <w:rsid w:val="0009145A"/>
    <w:rsid w:val="00091526"/>
    <w:rsid w:val="00093217"/>
    <w:rsid w:val="0009359A"/>
    <w:rsid w:val="00095198"/>
    <w:rsid w:val="00095806"/>
    <w:rsid w:val="00095E8B"/>
    <w:rsid w:val="00095F61"/>
    <w:rsid w:val="00097AE9"/>
    <w:rsid w:val="00097B04"/>
    <w:rsid w:val="00097B0D"/>
    <w:rsid w:val="00097D02"/>
    <w:rsid w:val="000A0885"/>
    <w:rsid w:val="000A0ABE"/>
    <w:rsid w:val="000A26CE"/>
    <w:rsid w:val="000A2D79"/>
    <w:rsid w:val="000A2E48"/>
    <w:rsid w:val="000A3EF9"/>
    <w:rsid w:val="000A5211"/>
    <w:rsid w:val="000A584E"/>
    <w:rsid w:val="000A5A8E"/>
    <w:rsid w:val="000A5CD4"/>
    <w:rsid w:val="000A5D52"/>
    <w:rsid w:val="000A68CB"/>
    <w:rsid w:val="000B0205"/>
    <w:rsid w:val="000B0817"/>
    <w:rsid w:val="000B10D9"/>
    <w:rsid w:val="000B20FC"/>
    <w:rsid w:val="000B30EC"/>
    <w:rsid w:val="000B3C67"/>
    <w:rsid w:val="000B4228"/>
    <w:rsid w:val="000B4318"/>
    <w:rsid w:val="000B4F60"/>
    <w:rsid w:val="000B5120"/>
    <w:rsid w:val="000B5CC8"/>
    <w:rsid w:val="000B5DFC"/>
    <w:rsid w:val="000B6990"/>
    <w:rsid w:val="000B74CD"/>
    <w:rsid w:val="000C1B95"/>
    <w:rsid w:val="000C1BAA"/>
    <w:rsid w:val="000C1F3E"/>
    <w:rsid w:val="000C299D"/>
    <w:rsid w:val="000C2E3C"/>
    <w:rsid w:val="000C3B21"/>
    <w:rsid w:val="000C428C"/>
    <w:rsid w:val="000C43C4"/>
    <w:rsid w:val="000C4602"/>
    <w:rsid w:val="000C48DA"/>
    <w:rsid w:val="000C5BC7"/>
    <w:rsid w:val="000C7685"/>
    <w:rsid w:val="000C788A"/>
    <w:rsid w:val="000D0432"/>
    <w:rsid w:val="000D2CA8"/>
    <w:rsid w:val="000D3427"/>
    <w:rsid w:val="000D48D5"/>
    <w:rsid w:val="000D4AC7"/>
    <w:rsid w:val="000D53FD"/>
    <w:rsid w:val="000D5BA7"/>
    <w:rsid w:val="000D6088"/>
    <w:rsid w:val="000D6F21"/>
    <w:rsid w:val="000D74B4"/>
    <w:rsid w:val="000D7B13"/>
    <w:rsid w:val="000D7DC6"/>
    <w:rsid w:val="000E0BCF"/>
    <w:rsid w:val="000E18B0"/>
    <w:rsid w:val="000E1BD5"/>
    <w:rsid w:val="000E2823"/>
    <w:rsid w:val="000E3107"/>
    <w:rsid w:val="000E3219"/>
    <w:rsid w:val="000E3D76"/>
    <w:rsid w:val="000E3DAB"/>
    <w:rsid w:val="000E5729"/>
    <w:rsid w:val="000E6437"/>
    <w:rsid w:val="000E6FEC"/>
    <w:rsid w:val="000E7FD8"/>
    <w:rsid w:val="000F0D32"/>
    <w:rsid w:val="000F0D6F"/>
    <w:rsid w:val="000F1EDD"/>
    <w:rsid w:val="000F1FCD"/>
    <w:rsid w:val="000F2024"/>
    <w:rsid w:val="000F3C35"/>
    <w:rsid w:val="000F3F04"/>
    <w:rsid w:val="000F3FD3"/>
    <w:rsid w:val="000F4196"/>
    <w:rsid w:val="000F420E"/>
    <w:rsid w:val="000F42D1"/>
    <w:rsid w:val="000F454C"/>
    <w:rsid w:val="000F49E5"/>
    <w:rsid w:val="000F4EE2"/>
    <w:rsid w:val="000F527A"/>
    <w:rsid w:val="000F5C16"/>
    <w:rsid w:val="000F6269"/>
    <w:rsid w:val="000F7241"/>
    <w:rsid w:val="000F7836"/>
    <w:rsid w:val="000F7F62"/>
    <w:rsid w:val="000F7FB8"/>
    <w:rsid w:val="001001FD"/>
    <w:rsid w:val="001014D9"/>
    <w:rsid w:val="00101DFC"/>
    <w:rsid w:val="00102A12"/>
    <w:rsid w:val="00102CC6"/>
    <w:rsid w:val="001038CA"/>
    <w:rsid w:val="00104758"/>
    <w:rsid w:val="001048BE"/>
    <w:rsid w:val="001062C0"/>
    <w:rsid w:val="0010678B"/>
    <w:rsid w:val="001072EB"/>
    <w:rsid w:val="00107AEE"/>
    <w:rsid w:val="0011014B"/>
    <w:rsid w:val="00111274"/>
    <w:rsid w:val="001117B9"/>
    <w:rsid w:val="00111CE3"/>
    <w:rsid w:val="00111E16"/>
    <w:rsid w:val="001134EF"/>
    <w:rsid w:val="001151A9"/>
    <w:rsid w:val="0011675A"/>
    <w:rsid w:val="001176D3"/>
    <w:rsid w:val="0012030F"/>
    <w:rsid w:val="001207F4"/>
    <w:rsid w:val="0012092A"/>
    <w:rsid w:val="00120AB4"/>
    <w:rsid w:val="00120BE1"/>
    <w:rsid w:val="00121B83"/>
    <w:rsid w:val="00121C20"/>
    <w:rsid w:val="001235F9"/>
    <w:rsid w:val="00123EA6"/>
    <w:rsid w:val="0012537B"/>
    <w:rsid w:val="00125467"/>
    <w:rsid w:val="0012714F"/>
    <w:rsid w:val="00127915"/>
    <w:rsid w:val="00130123"/>
    <w:rsid w:val="00130801"/>
    <w:rsid w:val="00130A8C"/>
    <w:rsid w:val="001310AA"/>
    <w:rsid w:val="00131673"/>
    <w:rsid w:val="00132670"/>
    <w:rsid w:val="001328E9"/>
    <w:rsid w:val="00132CC4"/>
    <w:rsid w:val="00134AFB"/>
    <w:rsid w:val="001351E0"/>
    <w:rsid w:val="0013635B"/>
    <w:rsid w:val="00136615"/>
    <w:rsid w:val="00136BA5"/>
    <w:rsid w:val="0013783D"/>
    <w:rsid w:val="00137B1E"/>
    <w:rsid w:val="001403D0"/>
    <w:rsid w:val="00141F32"/>
    <w:rsid w:val="00143392"/>
    <w:rsid w:val="001438E5"/>
    <w:rsid w:val="00143AB1"/>
    <w:rsid w:val="00143D73"/>
    <w:rsid w:val="00146E88"/>
    <w:rsid w:val="0014730C"/>
    <w:rsid w:val="00147B19"/>
    <w:rsid w:val="00147DC1"/>
    <w:rsid w:val="00150618"/>
    <w:rsid w:val="00150E64"/>
    <w:rsid w:val="00151731"/>
    <w:rsid w:val="00151766"/>
    <w:rsid w:val="001526F9"/>
    <w:rsid w:val="00152FED"/>
    <w:rsid w:val="00153918"/>
    <w:rsid w:val="001547E1"/>
    <w:rsid w:val="00154F74"/>
    <w:rsid w:val="0015531A"/>
    <w:rsid w:val="00155E83"/>
    <w:rsid w:val="0015663C"/>
    <w:rsid w:val="001568E6"/>
    <w:rsid w:val="00156A84"/>
    <w:rsid w:val="001571E8"/>
    <w:rsid w:val="00157252"/>
    <w:rsid w:val="001579FA"/>
    <w:rsid w:val="00160375"/>
    <w:rsid w:val="001607B5"/>
    <w:rsid w:val="00161522"/>
    <w:rsid w:val="001617AE"/>
    <w:rsid w:val="00161CFD"/>
    <w:rsid w:val="0016263C"/>
    <w:rsid w:val="00162AE8"/>
    <w:rsid w:val="00162C56"/>
    <w:rsid w:val="00162DB2"/>
    <w:rsid w:val="001633A1"/>
    <w:rsid w:val="00163466"/>
    <w:rsid w:val="00163943"/>
    <w:rsid w:val="00164242"/>
    <w:rsid w:val="00164924"/>
    <w:rsid w:val="00164C76"/>
    <w:rsid w:val="00165109"/>
    <w:rsid w:val="001657B1"/>
    <w:rsid w:val="00166C05"/>
    <w:rsid w:val="00167845"/>
    <w:rsid w:val="00167927"/>
    <w:rsid w:val="00170C17"/>
    <w:rsid w:val="0017173E"/>
    <w:rsid w:val="00171CA3"/>
    <w:rsid w:val="00172A27"/>
    <w:rsid w:val="00173149"/>
    <w:rsid w:val="00173759"/>
    <w:rsid w:val="00174E1A"/>
    <w:rsid w:val="001754BA"/>
    <w:rsid w:val="00176B0D"/>
    <w:rsid w:val="00176E8D"/>
    <w:rsid w:val="00177549"/>
    <w:rsid w:val="001778AC"/>
    <w:rsid w:val="001778BE"/>
    <w:rsid w:val="00180D1B"/>
    <w:rsid w:val="00180F0D"/>
    <w:rsid w:val="00181FEA"/>
    <w:rsid w:val="00182706"/>
    <w:rsid w:val="0018284B"/>
    <w:rsid w:val="00182BCC"/>
    <w:rsid w:val="00183CCE"/>
    <w:rsid w:val="001845E9"/>
    <w:rsid w:val="001864FF"/>
    <w:rsid w:val="00190166"/>
    <w:rsid w:val="0019057A"/>
    <w:rsid w:val="0019162C"/>
    <w:rsid w:val="001919EB"/>
    <w:rsid w:val="00191B20"/>
    <w:rsid w:val="00191B94"/>
    <w:rsid w:val="00191FB0"/>
    <w:rsid w:val="0019227B"/>
    <w:rsid w:val="00192D08"/>
    <w:rsid w:val="00193C39"/>
    <w:rsid w:val="00193E93"/>
    <w:rsid w:val="00194A4F"/>
    <w:rsid w:val="00195B8B"/>
    <w:rsid w:val="00195DCB"/>
    <w:rsid w:val="00195F14"/>
    <w:rsid w:val="001961A2"/>
    <w:rsid w:val="001963E7"/>
    <w:rsid w:val="00196787"/>
    <w:rsid w:val="00196B4C"/>
    <w:rsid w:val="001970AD"/>
    <w:rsid w:val="00197204"/>
    <w:rsid w:val="00197691"/>
    <w:rsid w:val="001A0DEF"/>
    <w:rsid w:val="001A173C"/>
    <w:rsid w:val="001A1844"/>
    <w:rsid w:val="001A20CA"/>
    <w:rsid w:val="001A2608"/>
    <w:rsid w:val="001A3B13"/>
    <w:rsid w:val="001A3CF6"/>
    <w:rsid w:val="001A3EE7"/>
    <w:rsid w:val="001A47F2"/>
    <w:rsid w:val="001A6C49"/>
    <w:rsid w:val="001A7E96"/>
    <w:rsid w:val="001B0220"/>
    <w:rsid w:val="001B0CD0"/>
    <w:rsid w:val="001B21B1"/>
    <w:rsid w:val="001B2A31"/>
    <w:rsid w:val="001B2D49"/>
    <w:rsid w:val="001B3D5C"/>
    <w:rsid w:val="001B5B42"/>
    <w:rsid w:val="001B601F"/>
    <w:rsid w:val="001B6DDB"/>
    <w:rsid w:val="001B6E8C"/>
    <w:rsid w:val="001B7078"/>
    <w:rsid w:val="001B7491"/>
    <w:rsid w:val="001B7EBE"/>
    <w:rsid w:val="001C06C0"/>
    <w:rsid w:val="001C10E5"/>
    <w:rsid w:val="001C1A12"/>
    <w:rsid w:val="001C1F6C"/>
    <w:rsid w:val="001C30D1"/>
    <w:rsid w:val="001C35B7"/>
    <w:rsid w:val="001C39FB"/>
    <w:rsid w:val="001C3AE0"/>
    <w:rsid w:val="001C3BC2"/>
    <w:rsid w:val="001C3C26"/>
    <w:rsid w:val="001C463F"/>
    <w:rsid w:val="001C47FC"/>
    <w:rsid w:val="001C585B"/>
    <w:rsid w:val="001C6DC5"/>
    <w:rsid w:val="001D0702"/>
    <w:rsid w:val="001D0A25"/>
    <w:rsid w:val="001D296C"/>
    <w:rsid w:val="001D2F3D"/>
    <w:rsid w:val="001D33C3"/>
    <w:rsid w:val="001D351A"/>
    <w:rsid w:val="001D3D8E"/>
    <w:rsid w:val="001D3DED"/>
    <w:rsid w:val="001D3DF8"/>
    <w:rsid w:val="001D4E6F"/>
    <w:rsid w:val="001D5573"/>
    <w:rsid w:val="001D6356"/>
    <w:rsid w:val="001D6EC3"/>
    <w:rsid w:val="001D710C"/>
    <w:rsid w:val="001D741D"/>
    <w:rsid w:val="001E0248"/>
    <w:rsid w:val="001E07B1"/>
    <w:rsid w:val="001E11B1"/>
    <w:rsid w:val="001E1E26"/>
    <w:rsid w:val="001E208F"/>
    <w:rsid w:val="001E233C"/>
    <w:rsid w:val="001E2771"/>
    <w:rsid w:val="001E2DDE"/>
    <w:rsid w:val="001E309F"/>
    <w:rsid w:val="001E630A"/>
    <w:rsid w:val="001E7109"/>
    <w:rsid w:val="001E7838"/>
    <w:rsid w:val="001F14B5"/>
    <w:rsid w:val="001F268F"/>
    <w:rsid w:val="001F37E0"/>
    <w:rsid w:val="001F37F9"/>
    <w:rsid w:val="001F3E49"/>
    <w:rsid w:val="001F401A"/>
    <w:rsid w:val="001F4A76"/>
    <w:rsid w:val="001F4EF8"/>
    <w:rsid w:val="001F4F4A"/>
    <w:rsid w:val="001F5989"/>
    <w:rsid w:val="002035A2"/>
    <w:rsid w:val="00203887"/>
    <w:rsid w:val="002043E3"/>
    <w:rsid w:val="002046D6"/>
    <w:rsid w:val="00205C71"/>
    <w:rsid w:val="00205F7B"/>
    <w:rsid w:val="0020717B"/>
    <w:rsid w:val="002078C2"/>
    <w:rsid w:val="00210400"/>
    <w:rsid w:val="00210436"/>
    <w:rsid w:val="0021043B"/>
    <w:rsid w:val="00210E7E"/>
    <w:rsid w:val="00211084"/>
    <w:rsid w:val="00211254"/>
    <w:rsid w:val="002122AD"/>
    <w:rsid w:val="002139CD"/>
    <w:rsid w:val="00213E88"/>
    <w:rsid w:val="00214C22"/>
    <w:rsid w:val="00216600"/>
    <w:rsid w:val="0021742B"/>
    <w:rsid w:val="0021781A"/>
    <w:rsid w:val="002201AC"/>
    <w:rsid w:val="0022067E"/>
    <w:rsid w:val="00221029"/>
    <w:rsid w:val="002216BD"/>
    <w:rsid w:val="00221A81"/>
    <w:rsid w:val="00221FE8"/>
    <w:rsid w:val="00222F08"/>
    <w:rsid w:val="002235B3"/>
    <w:rsid w:val="002237FD"/>
    <w:rsid w:val="0022442C"/>
    <w:rsid w:val="00224A1D"/>
    <w:rsid w:val="00225340"/>
    <w:rsid w:val="00225978"/>
    <w:rsid w:val="002269FF"/>
    <w:rsid w:val="002274F2"/>
    <w:rsid w:val="00227BE4"/>
    <w:rsid w:val="0023051D"/>
    <w:rsid w:val="00230EA4"/>
    <w:rsid w:val="0023193A"/>
    <w:rsid w:val="00232A7A"/>
    <w:rsid w:val="00232DA4"/>
    <w:rsid w:val="0023353D"/>
    <w:rsid w:val="00233A9F"/>
    <w:rsid w:val="00233EA8"/>
    <w:rsid w:val="00233EE9"/>
    <w:rsid w:val="002341C3"/>
    <w:rsid w:val="00235CCD"/>
    <w:rsid w:val="0023602F"/>
    <w:rsid w:val="002362ED"/>
    <w:rsid w:val="00237036"/>
    <w:rsid w:val="002372AC"/>
    <w:rsid w:val="00237A33"/>
    <w:rsid w:val="00237DD6"/>
    <w:rsid w:val="00240B0F"/>
    <w:rsid w:val="00240E54"/>
    <w:rsid w:val="0024167D"/>
    <w:rsid w:val="00241BD9"/>
    <w:rsid w:val="00241F4C"/>
    <w:rsid w:val="00242B67"/>
    <w:rsid w:val="00242EA8"/>
    <w:rsid w:val="002442A5"/>
    <w:rsid w:val="00244AF3"/>
    <w:rsid w:val="00244EFB"/>
    <w:rsid w:val="002451ED"/>
    <w:rsid w:val="002458E4"/>
    <w:rsid w:val="00246EB4"/>
    <w:rsid w:val="002474EC"/>
    <w:rsid w:val="00247A55"/>
    <w:rsid w:val="002506EE"/>
    <w:rsid w:val="00250D33"/>
    <w:rsid w:val="002517DF"/>
    <w:rsid w:val="002518E6"/>
    <w:rsid w:val="00251AE6"/>
    <w:rsid w:val="00252D49"/>
    <w:rsid w:val="00253C51"/>
    <w:rsid w:val="00253C7F"/>
    <w:rsid w:val="002548D3"/>
    <w:rsid w:val="00254D20"/>
    <w:rsid w:val="00255367"/>
    <w:rsid w:val="0025568B"/>
    <w:rsid w:val="002561B7"/>
    <w:rsid w:val="00257131"/>
    <w:rsid w:val="0025733E"/>
    <w:rsid w:val="00257F6B"/>
    <w:rsid w:val="00260B13"/>
    <w:rsid w:val="00261445"/>
    <w:rsid w:val="00261C50"/>
    <w:rsid w:val="00261E06"/>
    <w:rsid w:val="0026284D"/>
    <w:rsid w:val="00263090"/>
    <w:rsid w:val="00264D98"/>
    <w:rsid w:val="00265054"/>
    <w:rsid w:val="0026523F"/>
    <w:rsid w:val="00265751"/>
    <w:rsid w:val="0026773F"/>
    <w:rsid w:val="0026780F"/>
    <w:rsid w:val="00267935"/>
    <w:rsid w:val="00270B8F"/>
    <w:rsid w:val="002710F3"/>
    <w:rsid w:val="00271B39"/>
    <w:rsid w:val="0027313B"/>
    <w:rsid w:val="00273952"/>
    <w:rsid w:val="00273CF6"/>
    <w:rsid w:val="00274F13"/>
    <w:rsid w:val="00275046"/>
    <w:rsid w:val="00275567"/>
    <w:rsid w:val="00275645"/>
    <w:rsid w:val="0027596A"/>
    <w:rsid w:val="00275B39"/>
    <w:rsid w:val="00275D52"/>
    <w:rsid w:val="00276B40"/>
    <w:rsid w:val="00276BC6"/>
    <w:rsid w:val="00276E58"/>
    <w:rsid w:val="0027723E"/>
    <w:rsid w:val="002772D9"/>
    <w:rsid w:val="0027745D"/>
    <w:rsid w:val="0028028C"/>
    <w:rsid w:val="00280915"/>
    <w:rsid w:val="00281C1E"/>
    <w:rsid w:val="00281DA0"/>
    <w:rsid w:val="00282C89"/>
    <w:rsid w:val="00282D45"/>
    <w:rsid w:val="00283253"/>
    <w:rsid w:val="0028414C"/>
    <w:rsid w:val="00284E2F"/>
    <w:rsid w:val="00284F80"/>
    <w:rsid w:val="00286810"/>
    <w:rsid w:val="00287102"/>
    <w:rsid w:val="00293DA4"/>
    <w:rsid w:val="002965D8"/>
    <w:rsid w:val="00296E86"/>
    <w:rsid w:val="002978BC"/>
    <w:rsid w:val="00297F1B"/>
    <w:rsid w:val="002A0381"/>
    <w:rsid w:val="002A0425"/>
    <w:rsid w:val="002A0651"/>
    <w:rsid w:val="002A06BD"/>
    <w:rsid w:val="002A11FB"/>
    <w:rsid w:val="002A120C"/>
    <w:rsid w:val="002A1996"/>
    <w:rsid w:val="002A1F00"/>
    <w:rsid w:val="002A2185"/>
    <w:rsid w:val="002A21D9"/>
    <w:rsid w:val="002A2FF3"/>
    <w:rsid w:val="002A334F"/>
    <w:rsid w:val="002A3ADE"/>
    <w:rsid w:val="002A3AF8"/>
    <w:rsid w:val="002A52CC"/>
    <w:rsid w:val="002A55AD"/>
    <w:rsid w:val="002A58FF"/>
    <w:rsid w:val="002A5C2D"/>
    <w:rsid w:val="002A5FBD"/>
    <w:rsid w:val="002A6C04"/>
    <w:rsid w:val="002A6E4D"/>
    <w:rsid w:val="002A7153"/>
    <w:rsid w:val="002A728A"/>
    <w:rsid w:val="002A73C5"/>
    <w:rsid w:val="002A7CAC"/>
    <w:rsid w:val="002A7D4F"/>
    <w:rsid w:val="002B011D"/>
    <w:rsid w:val="002B021E"/>
    <w:rsid w:val="002B0A9F"/>
    <w:rsid w:val="002B0D74"/>
    <w:rsid w:val="002B2E09"/>
    <w:rsid w:val="002B3C7C"/>
    <w:rsid w:val="002B53C3"/>
    <w:rsid w:val="002B6528"/>
    <w:rsid w:val="002B6DB3"/>
    <w:rsid w:val="002C08AB"/>
    <w:rsid w:val="002C0962"/>
    <w:rsid w:val="002C183E"/>
    <w:rsid w:val="002C1AA0"/>
    <w:rsid w:val="002C24DC"/>
    <w:rsid w:val="002C3057"/>
    <w:rsid w:val="002C44A2"/>
    <w:rsid w:val="002C467A"/>
    <w:rsid w:val="002C4B6D"/>
    <w:rsid w:val="002C526F"/>
    <w:rsid w:val="002C5F66"/>
    <w:rsid w:val="002C75D5"/>
    <w:rsid w:val="002D0253"/>
    <w:rsid w:val="002D13DF"/>
    <w:rsid w:val="002D2672"/>
    <w:rsid w:val="002D3B6B"/>
    <w:rsid w:val="002D41A4"/>
    <w:rsid w:val="002D603D"/>
    <w:rsid w:val="002D637A"/>
    <w:rsid w:val="002D6AA2"/>
    <w:rsid w:val="002D6C62"/>
    <w:rsid w:val="002D7500"/>
    <w:rsid w:val="002D78A2"/>
    <w:rsid w:val="002E00AD"/>
    <w:rsid w:val="002E02EB"/>
    <w:rsid w:val="002E0461"/>
    <w:rsid w:val="002E075F"/>
    <w:rsid w:val="002E08C1"/>
    <w:rsid w:val="002E0B56"/>
    <w:rsid w:val="002E0B5D"/>
    <w:rsid w:val="002E0C7F"/>
    <w:rsid w:val="002E1650"/>
    <w:rsid w:val="002E214F"/>
    <w:rsid w:val="002E31F9"/>
    <w:rsid w:val="002E3425"/>
    <w:rsid w:val="002E3469"/>
    <w:rsid w:val="002E35AF"/>
    <w:rsid w:val="002E3C98"/>
    <w:rsid w:val="002E6A58"/>
    <w:rsid w:val="002E7881"/>
    <w:rsid w:val="002F01F2"/>
    <w:rsid w:val="002F10DF"/>
    <w:rsid w:val="002F11D5"/>
    <w:rsid w:val="002F3765"/>
    <w:rsid w:val="002F4F44"/>
    <w:rsid w:val="002F50DA"/>
    <w:rsid w:val="002F5168"/>
    <w:rsid w:val="002F584B"/>
    <w:rsid w:val="002F5DEF"/>
    <w:rsid w:val="002F5FC3"/>
    <w:rsid w:val="002F6EF2"/>
    <w:rsid w:val="002F7174"/>
    <w:rsid w:val="002F71A4"/>
    <w:rsid w:val="002F71A9"/>
    <w:rsid w:val="002F7D39"/>
    <w:rsid w:val="002F7E8D"/>
    <w:rsid w:val="00300935"/>
    <w:rsid w:val="00300C2A"/>
    <w:rsid w:val="003011CC"/>
    <w:rsid w:val="003015A2"/>
    <w:rsid w:val="003022E5"/>
    <w:rsid w:val="003033D9"/>
    <w:rsid w:val="003037F8"/>
    <w:rsid w:val="00303F98"/>
    <w:rsid w:val="0030424E"/>
    <w:rsid w:val="00304338"/>
    <w:rsid w:val="003044F5"/>
    <w:rsid w:val="00304A39"/>
    <w:rsid w:val="003051C9"/>
    <w:rsid w:val="00305D1D"/>
    <w:rsid w:val="0030700E"/>
    <w:rsid w:val="00307766"/>
    <w:rsid w:val="0030779C"/>
    <w:rsid w:val="00307A2D"/>
    <w:rsid w:val="00310487"/>
    <w:rsid w:val="00310D4B"/>
    <w:rsid w:val="00311557"/>
    <w:rsid w:val="003119CD"/>
    <w:rsid w:val="00311FD7"/>
    <w:rsid w:val="003132C3"/>
    <w:rsid w:val="00314779"/>
    <w:rsid w:val="00314A25"/>
    <w:rsid w:val="00315243"/>
    <w:rsid w:val="003156C1"/>
    <w:rsid w:val="003158CA"/>
    <w:rsid w:val="00317240"/>
    <w:rsid w:val="0031737C"/>
    <w:rsid w:val="003201A8"/>
    <w:rsid w:val="003203BF"/>
    <w:rsid w:val="00321260"/>
    <w:rsid w:val="003214D6"/>
    <w:rsid w:val="0032244E"/>
    <w:rsid w:val="003235B3"/>
    <w:rsid w:val="003242E5"/>
    <w:rsid w:val="00324DD8"/>
    <w:rsid w:val="003256E0"/>
    <w:rsid w:val="00326AD8"/>
    <w:rsid w:val="00327114"/>
    <w:rsid w:val="00327B3E"/>
    <w:rsid w:val="00327D7F"/>
    <w:rsid w:val="00327EA3"/>
    <w:rsid w:val="003323A2"/>
    <w:rsid w:val="0033293D"/>
    <w:rsid w:val="0033321A"/>
    <w:rsid w:val="00333676"/>
    <w:rsid w:val="00333A02"/>
    <w:rsid w:val="00333E4C"/>
    <w:rsid w:val="00334224"/>
    <w:rsid w:val="0033425B"/>
    <w:rsid w:val="00334568"/>
    <w:rsid w:val="00334680"/>
    <w:rsid w:val="003350A3"/>
    <w:rsid w:val="0033586C"/>
    <w:rsid w:val="00336339"/>
    <w:rsid w:val="00340445"/>
    <w:rsid w:val="003431F0"/>
    <w:rsid w:val="003440A7"/>
    <w:rsid w:val="00344388"/>
    <w:rsid w:val="00344AF1"/>
    <w:rsid w:val="00344E89"/>
    <w:rsid w:val="00345AD6"/>
    <w:rsid w:val="00345E2A"/>
    <w:rsid w:val="00346772"/>
    <w:rsid w:val="00346E05"/>
    <w:rsid w:val="0034724E"/>
    <w:rsid w:val="0035140C"/>
    <w:rsid w:val="00352BC1"/>
    <w:rsid w:val="00352F1B"/>
    <w:rsid w:val="003546B3"/>
    <w:rsid w:val="00354FA4"/>
    <w:rsid w:val="00355439"/>
    <w:rsid w:val="00355855"/>
    <w:rsid w:val="00355CE5"/>
    <w:rsid w:val="003561C0"/>
    <w:rsid w:val="003571E8"/>
    <w:rsid w:val="003602AF"/>
    <w:rsid w:val="00360F8C"/>
    <w:rsid w:val="003619E8"/>
    <w:rsid w:val="003625DC"/>
    <w:rsid w:val="00363B3E"/>
    <w:rsid w:val="003646C5"/>
    <w:rsid w:val="0036577A"/>
    <w:rsid w:val="00366BCE"/>
    <w:rsid w:val="00366FA8"/>
    <w:rsid w:val="003703D0"/>
    <w:rsid w:val="003709F9"/>
    <w:rsid w:val="0037107C"/>
    <w:rsid w:val="00371362"/>
    <w:rsid w:val="00372522"/>
    <w:rsid w:val="0037252A"/>
    <w:rsid w:val="003728C9"/>
    <w:rsid w:val="0037369F"/>
    <w:rsid w:val="00373923"/>
    <w:rsid w:val="003744B5"/>
    <w:rsid w:val="003756AA"/>
    <w:rsid w:val="003762A6"/>
    <w:rsid w:val="00376309"/>
    <w:rsid w:val="003773D2"/>
    <w:rsid w:val="00377B2A"/>
    <w:rsid w:val="003801E8"/>
    <w:rsid w:val="00380FFD"/>
    <w:rsid w:val="00381308"/>
    <w:rsid w:val="003814E4"/>
    <w:rsid w:val="00381578"/>
    <w:rsid w:val="00381C63"/>
    <w:rsid w:val="003824ED"/>
    <w:rsid w:val="00382561"/>
    <w:rsid w:val="00382B9E"/>
    <w:rsid w:val="00382C17"/>
    <w:rsid w:val="0038318E"/>
    <w:rsid w:val="003843EC"/>
    <w:rsid w:val="003847A5"/>
    <w:rsid w:val="00386DF3"/>
    <w:rsid w:val="00387F66"/>
    <w:rsid w:val="003909DB"/>
    <w:rsid w:val="00390BA0"/>
    <w:rsid w:val="00393028"/>
    <w:rsid w:val="0039313E"/>
    <w:rsid w:val="003932CC"/>
    <w:rsid w:val="0039399A"/>
    <w:rsid w:val="00394690"/>
    <w:rsid w:val="00394848"/>
    <w:rsid w:val="00394D1B"/>
    <w:rsid w:val="00395AE1"/>
    <w:rsid w:val="003960EC"/>
    <w:rsid w:val="0039611D"/>
    <w:rsid w:val="0039729C"/>
    <w:rsid w:val="00397BFA"/>
    <w:rsid w:val="003A0BE4"/>
    <w:rsid w:val="003A1771"/>
    <w:rsid w:val="003A1D06"/>
    <w:rsid w:val="003A1FFD"/>
    <w:rsid w:val="003A268D"/>
    <w:rsid w:val="003A2908"/>
    <w:rsid w:val="003A2DDD"/>
    <w:rsid w:val="003A407A"/>
    <w:rsid w:val="003A44F3"/>
    <w:rsid w:val="003A5139"/>
    <w:rsid w:val="003A52FC"/>
    <w:rsid w:val="003A5697"/>
    <w:rsid w:val="003A574F"/>
    <w:rsid w:val="003A58D0"/>
    <w:rsid w:val="003A5CA1"/>
    <w:rsid w:val="003A6FDB"/>
    <w:rsid w:val="003B01FA"/>
    <w:rsid w:val="003B0A1B"/>
    <w:rsid w:val="003B0D25"/>
    <w:rsid w:val="003B1B85"/>
    <w:rsid w:val="003B2926"/>
    <w:rsid w:val="003B3713"/>
    <w:rsid w:val="003B3783"/>
    <w:rsid w:val="003B39B0"/>
    <w:rsid w:val="003B3AA5"/>
    <w:rsid w:val="003B3DE3"/>
    <w:rsid w:val="003B3FA6"/>
    <w:rsid w:val="003B4096"/>
    <w:rsid w:val="003B466A"/>
    <w:rsid w:val="003B4982"/>
    <w:rsid w:val="003B4B46"/>
    <w:rsid w:val="003B5499"/>
    <w:rsid w:val="003B583A"/>
    <w:rsid w:val="003B65AB"/>
    <w:rsid w:val="003B66E9"/>
    <w:rsid w:val="003B68E0"/>
    <w:rsid w:val="003B6CFD"/>
    <w:rsid w:val="003B7092"/>
    <w:rsid w:val="003B789C"/>
    <w:rsid w:val="003C02EE"/>
    <w:rsid w:val="003C0FBF"/>
    <w:rsid w:val="003C1B80"/>
    <w:rsid w:val="003C1F0B"/>
    <w:rsid w:val="003C2E11"/>
    <w:rsid w:val="003C3323"/>
    <w:rsid w:val="003C3359"/>
    <w:rsid w:val="003C44A5"/>
    <w:rsid w:val="003C488F"/>
    <w:rsid w:val="003C4DA4"/>
    <w:rsid w:val="003C4FB5"/>
    <w:rsid w:val="003C5286"/>
    <w:rsid w:val="003C54B4"/>
    <w:rsid w:val="003C63D8"/>
    <w:rsid w:val="003C7436"/>
    <w:rsid w:val="003C7EBA"/>
    <w:rsid w:val="003D0DB9"/>
    <w:rsid w:val="003D16D0"/>
    <w:rsid w:val="003D2268"/>
    <w:rsid w:val="003D27B5"/>
    <w:rsid w:val="003D2DD9"/>
    <w:rsid w:val="003D3FDB"/>
    <w:rsid w:val="003D4592"/>
    <w:rsid w:val="003D53DC"/>
    <w:rsid w:val="003D589A"/>
    <w:rsid w:val="003D6DF6"/>
    <w:rsid w:val="003D6E2F"/>
    <w:rsid w:val="003D79CA"/>
    <w:rsid w:val="003D7BA8"/>
    <w:rsid w:val="003E0E08"/>
    <w:rsid w:val="003E1AE0"/>
    <w:rsid w:val="003E2286"/>
    <w:rsid w:val="003E27AC"/>
    <w:rsid w:val="003E3074"/>
    <w:rsid w:val="003E3167"/>
    <w:rsid w:val="003E354E"/>
    <w:rsid w:val="003E394B"/>
    <w:rsid w:val="003E400C"/>
    <w:rsid w:val="003E4428"/>
    <w:rsid w:val="003E4571"/>
    <w:rsid w:val="003E45C2"/>
    <w:rsid w:val="003E5B65"/>
    <w:rsid w:val="003E5FE7"/>
    <w:rsid w:val="003E6641"/>
    <w:rsid w:val="003E69D8"/>
    <w:rsid w:val="003E6B1E"/>
    <w:rsid w:val="003E6C45"/>
    <w:rsid w:val="003E6EAB"/>
    <w:rsid w:val="003E714C"/>
    <w:rsid w:val="003E7E77"/>
    <w:rsid w:val="003F1F28"/>
    <w:rsid w:val="003F2057"/>
    <w:rsid w:val="003F3ED0"/>
    <w:rsid w:val="003F447B"/>
    <w:rsid w:val="003F50A1"/>
    <w:rsid w:val="003F5132"/>
    <w:rsid w:val="003F65B3"/>
    <w:rsid w:val="003F66CB"/>
    <w:rsid w:val="003F6B1B"/>
    <w:rsid w:val="003F6B28"/>
    <w:rsid w:val="003F6BA8"/>
    <w:rsid w:val="00400133"/>
    <w:rsid w:val="004009A7"/>
    <w:rsid w:val="00400A0B"/>
    <w:rsid w:val="004025F3"/>
    <w:rsid w:val="00402AB6"/>
    <w:rsid w:val="004030DE"/>
    <w:rsid w:val="004035B9"/>
    <w:rsid w:val="00403D47"/>
    <w:rsid w:val="00404F25"/>
    <w:rsid w:val="00405A2A"/>
    <w:rsid w:val="00405AF2"/>
    <w:rsid w:val="00405C91"/>
    <w:rsid w:val="00405E73"/>
    <w:rsid w:val="004061A4"/>
    <w:rsid w:val="0040632D"/>
    <w:rsid w:val="004077F2"/>
    <w:rsid w:val="00407BC7"/>
    <w:rsid w:val="0041016A"/>
    <w:rsid w:val="00410BE7"/>
    <w:rsid w:val="00410D31"/>
    <w:rsid w:val="004112F6"/>
    <w:rsid w:val="00411782"/>
    <w:rsid w:val="004129C0"/>
    <w:rsid w:val="00414417"/>
    <w:rsid w:val="00415B9C"/>
    <w:rsid w:val="00415DC9"/>
    <w:rsid w:val="004165C8"/>
    <w:rsid w:val="004168DB"/>
    <w:rsid w:val="00416A9F"/>
    <w:rsid w:val="00417D63"/>
    <w:rsid w:val="00417F6A"/>
    <w:rsid w:val="0042083E"/>
    <w:rsid w:val="00421FC0"/>
    <w:rsid w:val="00422B01"/>
    <w:rsid w:val="00423668"/>
    <w:rsid w:val="00424697"/>
    <w:rsid w:val="004278F7"/>
    <w:rsid w:val="00427BF1"/>
    <w:rsid w:val="004304D3"/>
    <w:rsid w:val="00430E30"/>
    <w:rsid w:val="00431A72"/>
    <w:rsid w:val="00432D25"/>
    <w:rsid w:val="004333D2"/>
    <w:rsid w:val="004342A5"/>
    <w:rsid w:val="00435BFC"/>
    <w:rsid w:val="0043621F"/>
    <w:rsid w:val="00436AF4"/>
    <w:rsid w:val="00436D58"/>
    <w:rsid w:val="00440258"/>
    <w:rsid w:val="004406D0"/>
    <w:rsid w:val="00441873"/>
    <w:rsid w:val="00442241"/>
    <w:rsid w:val="00442C65"/>
    <w:rsid w:val="00442D09"/>
    <w:rsid w:val="004434AB"/>
    <w:rsid w:val="0044493B"/>
    <w:rsid w:val="00444C0A"/>
    <w:rsid w:val="00444CD2"/>
    <w:rsid w:val="0044696A"/>
    <w:rsid w:val="00447018"/>
    <w:rsid w:val="004478F9"/>
    <w:rsid w:val="004503FD"/>
    <w:rsid w:val="00450BA1"/>
    <w:rsid w:val="00450E38"/>
    <w:rsid w:val="0045114C"/>
    <w:rsid w:val="00451AE9"/>
    <w:rsid w:val="00451DFC"/>
    <w:rsid w:val="0045274D"/>
    <w:rsid w:val="00452E26"/>
    <w:rsid w:val="00453895"/>
    <w:rsid w:val="00454022"/>
    <w:rsid w:val="004548D4"/>
    <w:rsid w:val="00454B0F"/>
    <w:rsid w:val="004553EB"/>
    <w:rsid w:val="00455D28"/>
    <w:rsid w:val="00455E64"/>
    <w:rsid w:val="00455F96"/>
    <w:rsid w:val="004562F1"/>
    <w:rsid w:val="0045708B"/>
    <w:rsid w:val="004602C0"/>
    <w:rsid w:val="00461561"/>
    <w:rsid w:val="004619CC"/>
    <w:rsid w:val="00461E36"/>
    <w:rsid w:val="0046392A"/>
    <w:rsid w:val="004646DA"/>
    <w:rsid w:val="00464A3F"/>
    <w:rsid w:val="00464F18"/>
    <w:rsid w:val="004652F8"/>
    <w:rsid w:val="004656F5"/>
    <w:rsid w:val="00465CA9"/>
    <w:rsid w:val="00465DED"/>
    <w:rsid w:val="00466586"/>
    <w:rsid w:val="00467388"/>
    <w:rsid w:val="00467C50"/>
    <w:rsid w:val="00470367"/>
    <w:rsid w:val="004705C5"/>
    <w:rsid w:val="00470934"/>
    <w:rsid w:val="00471A60"/>
    <w:rsid w:val="00471CC8"/>
    <w:rsid w:val="0047365F"/>
    <w:rsid w:val="00473A14"/>
    <w:rsid w:val="00474A63"/>
    <w:rsid w:val="004759C7"/>
    <w:rsid w:val="00475D1D"/>
    <w:rsid w:val="004769D9"/>
    <w:rsid w:val="004776B9"/>
    <w:rsid w:val="004813C6"/>
    <w:rsid w:val="004826CA"/>
    <w:rsid w:val="0048270D"/>
    <w:rsid w:val="004828D0"/>
    <w:rsid w:val="00482DF6"/>
    <w:rsid w:val="00483C5F"/>
    <w:rsid w:val="00483DBF"/>
    <w:rsid w:val="00485872"/>
    <w:rsid w:val="00486B4A"/>
    <w:rsid w:val="00486C08"/>
    <w:rsid w:val="00486D7E"/>
    <w:rsid w:val="00487C54"/>
    <w:rsid w:val="00487CC7"/>
    <w:rsid w:val="0049059F"/>
    <w:rsid w:val="00490D19"/>
    <w:rsid w:val="00491651"/>
    <w:rsid w:val="0049261D"/>
    <w:rsid w:val="004928C1"/>
    <w:rsid w:val="004932D3"/>
    <w:rsid w:val="004936D5"/>
    <w:rsid w:val="00493EFE"/>
    <w:rsid w:val="004940C3"/>
    <w:rsid w:val="004945B1"/>
    <w:rsid w:val="00494C12"/>
    <w:rsid w:val="00494EEC"/>
    <w:rsid w:val="0049523D"/>
    <w:rsid w:val="00495625"/>
    <w:rsid w:val="00496451"/>
    <w:rsid w:val="00496C58"/>
    <w:rsid w:val="004977A8"/>
    <w:rsid w:val="00497B52"/>
    <w:rsid w:val="00497E2B"/>
    <w:rsid w:val="004A0BD7"/>
    <w:rsid w:val="004A0F14"/>
    <w:rsid w:val="004A117B"/>
    <w:rsid w:val="004A12C5"/>
    <w:rsid w:val="004A1D55"/>
    <w:rsid w:val="004A1F3D"/>
    <w:rsid w:val="004A2635"/>
    <w:rsid w:val="004A2B58"/>
    <w:rsid w:val="004A2E82"/>
    <w:rsid w:val="004A3080"/>
    <w:rsid w:val="004A3A37"/>
    <w:rsid w:val="004A45D6"/>
    <w:rsid w:val="004A4E10"/>
    <w:rsid w:val="004A59A4"/>
    <w:rsid w:val="004A59E9"/>
    <w:rsid w:val="004A73C9"/>
    <w:rsid w:val="004A7475"/>
    <w:rsid w:val="004A7D13"/>
    <w:rsid w:val="004A7F95"/>
    <w:rsid w:val="004B1333"/>
    <w:rsid w:val="004B35DD"/>
    <w:rsid w:val="004B5539"/>
    <w:rsid w:val="004B5E63"/>
    <w:rsid w:val="004B6252"/>
    <w:rsid w:val="004B6A14"/>
    <w:rsid w:val="004B6C1B"/>
    <w:rsid w:val="004B6D5F"/>
    <w:rsid w:val="004B7046"/>
    <w:rsid w:val="004C1447"/>
    <w:rsid w:val="004C262D"/>
    <w:rsid w:val="004C307C"/>
    <w:rsid w:val="004C349D"/>
    <w:rsid w:val="004C5201"/>
    <w:rsid w:val="004C57D7"/>
    <w:rsid w:val="004C6F5B"/>
    <w:rsid w:val="004C7023"/>
    <w:rsid w:val="004C7132"/>
    <w:rsid w:val="004C725E"/>
    <w:rsid w:val="004C753A"/>
    <w:rsid w:val="004C7725"/>
    <w:rsid w:val="004C77BC"/>
    <w:rsid w:val="004D0729"/>
    <w:rsid w:val="004D10AE"/>
    <w:rsid w:val="004D241E"/>
    <w:rsid w:val="004D3172"/>
    <w:rsid w:val="004D4715"/>
    <w:rsid w:val="004D591C"/>
    <w:rsid w:val="004D5B92"/>
    <w:rsid w:val="004D5ED0"/>
    <w:rsid w:val="004D6A22"/>
    <w:rsid w:val="004D6A3B"/>
    <w:rsid w:val="004D7070"/>
    <w:rsid w:val="004D7151"/>
    <w:rsid w:val="004E019A"/>
    <w:rsid w:val="004E05BE"/>
    <w:rsid w:val="004E0A50"/>
    <w:rsid w:val="004E0BF6"/>
    <w:rsid w:val="004E0D9C"/>
    <w:rsid w:val="004E10C4"/>
    <w:rsid w:val="004E1424"/>
    <w:rsid w:val="004E1BC0"/>
    <w:rsid w:val="004E246B"/>
    <w:rsid w:val="004E345A"/>
    <w:rsid w:val="004E3ACB"/>
    <w:rsid w:val="004E4394"/>
    <w:rsid w:val="004E4E52"/>
    <w:rsid w:val="004E59C7"/>
    <w:rsid w:val="004E5B44"/>
    <w:rsid w:val="004E6BED"/>
    <w:rsid w:val="004E737E"/>
    <w:rsid w:val="004F0094"/>
    <w:rsid w:val="004F0352"/>
    <w:rsid w:val="004F065D"/>
    <w:rsid w:val="004F091C"/>
    <w:rsid w:val="004F0924"/>
    <w:rsid w:val="004F1113"/>
    <w:rsid w:val="004F1DD7"/>
    <w:rsid w:val="004F266B"/>
    <w:rsid w:val="004F2CF9"/>
    <w:rsid w:val="004F2DD6"/>
    <w:rsid w:val="004F3163"/>
    <w:rsid w:val="004F3560"/>
    <w:rsid w:val="004F3585"/>
    <w:rsid w:val="004F3E76"/>
    <w:rsid w:val="004F644E"/>
    <w:rsid w:val="004F797F"/>
    <w:rsid w:val="0050030A"/>
    <w:rsid w:val="00500875"/>
    <w:rsid w:val="00500F87"/>
    <w:rsid w:val="0050193A"/>
    <w:rsid w:val="00501E03"/>
    <w:rsid w:val="00501E5A"/>
    <w:rsid w:val="0050276C"/>
    <w:rsid w:val="0050367F"/>
    <w:rsid w:val="00504068"/>
    <w:rsid w:val="00504889"/>
    <w:rsid w:val="00504F17"/>
    <w:rsid w:val="00505297"/>
    <w:rsid w:val="00506274"/>
    <w:rsid w:val="005063B3"/>
    <w:rsid w:val="00507045"/>
    <w:rsid w:val="0050758B"/>
    <w:rsid w:val="00507643"/>
    <w:rsid w:val="00507C7E"/>
    <w:rsid w:val="00507FA4"/>
    <w:rsid w:val="00510424"/>
    <w:rsid w:val="00510D49"/>
    <w:rsid w:val="0051142C"/>
    <w:rsid w:val="005124DD"/>
    <w:rsid w:val="00512B7A"/>
    <w:rsid w:val="00512CCA"/>
    <w:rsid w:val="005134DC"/>
    <w:rsid w:val="0051352C"/>
    <w:rsid w:val="0051378A"/>
    <w:rsid w:val="00513896"/>
    <w:rsid w:val="005142E9"/>
    <w:rsid w:val="00514D18"/>
    <w:rsid w:val="00514E08"/>
    <w:rsid w:val="00515F9B"/>
    <w:rsid w:val="00516294"/>
    <w:rsid w:val="00516640"/>
    <w:rsid w:val="00516E96"/>
    <w:rsid w:val="00517097"/>
    <w:rsid w:val="00517171"/>
    <w:rsid w:val="00517439"/>
    <w:rsid w:val="005174ED"/>
    <w:rsid w:val="005202AA"/>
    <w:rsid w:val="00520A35"/>
    <w:rsid w:val="005213D9"/>
    <w:rsid w:val="00521AA0"/>
    <w:rsid w:val="00521B62"/>
    <w:rsid w:val="00523173"/>
    <w:rsid w:val="00523BBD"/>
    <w:rsid w:val="00525027"/>
    <w:rsid w:val="0052639E"/>
    <w:rsid w:val="005266E1"/>
    <w:rsid w:val="00527307"/>
    <w:rsid w:val="00527340"/>
    <w:rsid w:val="00527369"/>
    <w:rsid w:val="00527637"/>
    <w:rsid w:val="00527E4A"/>
    <w:rsid w:val="0053015A"/>
    <w:rsid w:val="00530202"/>
    <w:rsid w:val="00530617"/>
    <w:rsid w:val="00530EA1"/>
    <w:rsid w:val="005316D3"/>
    <w:rsid w:val="00531C5E"/>
    <w:rsid w:val="00532A52"/>
    <w:rsid w:val="0053475F"/>
    <w:rsid w:val="00535772"/>
    <w:rsid w:val="005360B6"/>
    <w:rsid w:val="005368E8"/>
    <w:rsid w:val="00536AB7"/>
    <w:rsid w:val="00536CFE"/>
    <w:rsid w:val="00540796"/>
    <w:rsid w:val="005408EA"/>
    <w:rsid w:val="005409BB"/>
    <w:rsid w:val="005418F9"/>
    <w:rsid w:val="00541F2C"/>
    <w:rsid w:val="005420E7"/>
    <w:rsid w:val="00542384"/>
    <w:rsid w:val="005425ED"/>
    <w:rsid w:val="005426BA"/>
    <w:rsid w:val="0054330F"/>
    <w:rsid w:val="0054350F"/>
    <w:rsid w:val="00543610"/>
    <w:rsid w:val="00543AB5"/>
    <w:rsid w:val="00544198"/>
    <w:rsid w:val="0054465D"/>
    <w:rsid w:val="005448D4"/>
    <w:rsid w:val="0054554B"/>
    <w:rsid w:val="005459D3"/>
    <w:rsid w:val="00545D4C"/>
    <w:rsid w:val="00545FC1"/>
    <w:rsid w:val="00546C0C"/>
    <w:rsid w:val="00547260"/>
    <w:rsid w:val="005474AE"/>
    <w:rsid w:val="00547A02"/>
    <w:rsid w:val="00547A8E"/>
    <w:rsid w:val="00550163"/>
    <w:rsid w:val="00550FF4"/>
    <w:rsid w:val="00551972"/>
    <w:rsid w:val="00551A35"/>
    <w:rsid w:val="005524D8"/>
    <w:rsid w:val="00552828"/>
    <w:rsid w:val="005536E3"/>
    <w:rsid w:val="00554A8A"/>
    <w:rsid w:val="005560B9"/>
    <w:rsid w:val="00557BE8"/>
    <w:rsid w:val="005601DE"/>
    <w:rsid w:val="0056021D"/>
    <w:rsid w:val="00560452"/>
    <w:rsid w:val="00560637"/>
    <w:rsid w:val="0056097F"/>
    <w:rsid w:val="00560A96"/>
    <w:rsid w:val="00560E39"/>
    <w:rsid w:val="005622D6"/>
    <w:rsid w:val="00562551"/>
    <w:rsid w:val="00563583"/>
    <w:rsid w:val="005635DB"/>
    <w:rsid w:val="00563722"/>
    <w:rsid w:val="0056395D"/>
    <w:rsid w:val="00563E50"/>
    <w:rsid w:val="00563F28"/>
    <w:rsid w:val="00565126"/>
    <w:rsid w:val="00567D3E"/>
    <w:rsid w:val="005709EF"/>
    <w:rsid w:val="0057109F"/>
    <w:rsid w:val="005722CB"/>
    <w:rsid w:val="00572A16"/>
    <w:rsid w:val="00573836"/>
    <w:rsid w:val="00574200"/>
    <w:rsid w:val="00574776"/>
    <w:rsid w:val="00574B44"/>
    <w:rsid w:val="00575CB0"/>
    <w:rsid w:val="00575FD0"/>
    <w:rsid w:val="005766D7"/>
    <w:rsid w:val="00576ED0"/>
    <w:rsid w:val="0058136F"/>
    <w:rsid w:val="00581F5A"/>
    <w:rsid w:val="00581FE8"/>
    <w:rsid w:val="00582975"/>
    <w:rsid w:val="00582EF6"/>
    <w:rsid w:val="00583464"/>
    <w:rsid w:val="00583A9B"/>
    <w:rsid w:val="005856FF"/>
    <w:rsid w:val="00585D80"/>
    <w:rsid w:val="00587847"/>
    <w:rsid w:val="00587868"/>
    <w:rsid w:val="00587E0C"/>
    <w:rsid w:val="00591025"/>
    <w:rsid w:val="00591555"/>
    <w:rsid w:val="00592E85"/>
    <w:rsid w:val="00593557"/>
    <w:rsid w:val="005935DB"/>
    <w:rsid w:val="0059361C"/>
    <w:rsid w:val="005937BB"/>
    <w:rsid w:val="0059385F"/>
    <w:rsid w:val="00593BA2"/>
    <w:rsid w:val="00594D80"/>
    <w:rsid w:val="005955D4"/>
    <w:rsid w:val="00595A8D"/>
    <w:rsid w:val="005A02B7"/>
    <w:rsid w:val="005A07C9"/>
    <w:rsid w:val="005A0B0E"/>
    <w:rsid w:val="005A0EA9"/>
    <w:rsid w:val="005A10EF"/>
    <w:rsid w:val="005A12C1"/>
    <w:rsid w:val="005A1307"/>
    <w:rsid w:val="005A1548"/>
    <w:rsid w:val="005A2EE9"/>
    <w:rsid w:val="005A45C2"/>
    <w:rsid w:val="005A4642"/>
    <w:rsid w:val="005A4B6B"/>
    <w:rsid w:val="005A5E6D"/>
    <w:rsid w:val="005A606C"/>
    <w:rsid w:val="005A66D1"/>
    <w:rsid w:val="005A6A3B"/>
    <w:rsid w:val="005A708D"/>
    <w:rsid w:val="005A7559"/>
    <w:rsid w:val="005A7587"/>
    <w:rsid w:val="005B057E"/>
    <w:rsid w:val="005B1ADB"/>
    <w:rsid w:val="005B22C3"/>
    <w:rsid w:val="005B342A"/>
    <w:rsid w:val="005B37AA"/>
    <w:rsid w:val="005B4B65"/>
    <w:rsid w:val="005B645D"/>
    <w:rsid w:val="005B663F"/>
    <w:rsid w:val="005B6A51"/>
    <w:rsid w:val="005B6B95"/>
    <w:rsid w:val="005B707A"/>
    <w:rsid w:val="005B7160"/>
    <w:rsid w:val="005B73A6"/>
    <w:rsid w:val="005C0674"/>
    <w:rsid w:val="005C068E"/>
    <w:rsid w:val="005C33DE"/>
    <w:rsid w:val="005C3571"/>
    <w:rsid w:val="005C3DAD"/>
    <w:rsid w:val="005C5927"/>
    <w:rsid w:val="005C5F97"/>
    <w:rsid w:val="005C7CC9"/>
    <w:rsid w:val="005D0019"/>
    <w:rsid w:val="005D0338"/>
    <w:rsid w:val="005D1F87"/>
    <w:rsid w:val="005D247E"/>
    <w:rsid w:val="005D2797"/>
    <w:rsid w:val="005D2AD9"/>
    <w:rsid w:val="005D3FAE"/>
    <w:rsid w:val="005D687E"/>
    <w:rsid w:val="005D7283"/>
    <w:rsid w:val="005D75A8"/>
    <w:rsid w:val="005D7A38"/>
    <w:rsid w:val="005D7E10"/>
    <w:rsid w:val="005D7F63"/>
    <w:rsid w:val="005D7FD7"/>
    <w:rsid w:val="005E01D6"/>
    <w:rsid w:val="005E0FBF"/>
    <w:rsid w:val="005E1A94"/>
    <w:rsid w:val="005E1E5E"/>
    <w:rsid w:val="005E223F"/>
    <w:rsid w:val="005E2578"/>
    <w:rsid w:val="005E3644"/>
    <w:rsid w:val="005E43D7"/>
    <w:rsid w:val="005E43D9"/>
    <w:rsid w:val="005E5423"/>
    <w:rsid w:val="005E5E26"/>
    <w:rsid w:val="005E5F05"/>
    <w:rsid w:val="005E66F9"/>
    <w:rsid w:val="005E6788"/>
    <w:rsid w:val="005E73AF"/>
    <w:rsid w:val="005E78D5"/>
    <w:rsid w:val="005E7FAB"/>
    <w:rsid w:val="005F003C"/>
    <w:rsid w:val="005F038C"/>
    <w:rsid w:val="005F0DF2"/>
    <w:rsid w:val="005F1684"/>
    <w:rsid w:val="005F19F3"/>
    <w:rsid w:val="005F1D49"/>
    <w:rsid w:val="005F6633"/>
    <w:rsid w:val="005F685D"/>
    <w:rsid w:val="005F690A"/>
    <w:rsid w:val="005F7277"/>
    <w:rsid w:val="005F7C32"/>
    <w:rsid w:val="006000BA"/>
    <w:rsid w:val="00601018"/>
    <w:rsid w:val="00601DCC"/>
    <w:rsid w:val="00602C08"/>
    <w:rsid w:val="0060324A"/>
    <w:rsid w:val="00603B00"/>
    <w:rsid w:val="00604586"/>
    <w:rsid w:val="00604A3E"/>
    <w:rsid w:val="00604E98"/>
    <w:rsid w:val="00607D49"/>
    <w:rsid w:val="00607E9C"/>
    <w:rsid w:val="00610A0E"/>
    <w:rsid w:val="00611806"/>
    <w:rsid w:val="006128E7"/>
    <w:rsid w:val="00613446"/>
    <w:rsid w:val="00615A8F"/>
    <w:rsid w:val="00616417"/>
    <w:rsid w:val="0061657A"/>
    <w:rsid w:val="00617620"/>
    <w:rsid w:val="006177C3"/>
    <w:rsid w:val="006203C2"/>
    <w:rsid w:val="0062090B"/>
    <w:rsid w:val="0062159C"/>
    <w:rsid w:val="00622077"/>
    <w:rsid w:val="00622A15"/>
    <w:rsid w:val="00622A7B"/>
    <w:rsid w:val="006233E4"/>
    <w:rsid w:val="00623D4B"/>
    <w:rsid w:val="00624521"/>
    <w:rsid w:val="00624C5D"/>
    <w:rsid w:val="00625599"/>
    <w:rsid w:val="00626246"/>
    <w:rsid w:val="00627B99"/>
    <w:rsid w:val="00627E79"/>
    <w:rsid w:val="00630492"/>
    <w:rsid w:val="0063088E"/>
    <w:rsid w:val="00631EC7"/>
    <w:rsid w:val="00631F08"/>
    <w:rsid w:val="00633529"/>
    <w:rsid w:val="006335B0"/>
    <w:rsid w:val="00633D19"/>
    <w:rsid w:val="00634056"/>
    <w:rsid w:val="00634F90"/>
    <w:rsid w:val="006363FA"/>
    <w:rsid w:val="0063654F"/>
    <w:rsid w:val="00636744"/>
    <w:rsid w:val="00636979"/>
    <w:rsid w:val="006372D5"/>
    <w:rsid w:val="00637418"/>
    <w:rsid w:val="00637EA1"/>
    <w:rsid w:val="00640237"/>
    <w:rsid w:val="006415DC"/>
    <w:rsid w:val="00641AB6"/>
    <w:rsid w:val="00641D3B"/>
    <w:rsid w:val="00642173"/>
    <w:rsid w:val="00642997"/>
    <w:rsid w:val="0064373A"/>
    <w:rsid w:val="00643F7D"/>
    <w:rsid w:val="0064446B"/>
    <w:rsid w:val="00644AE8"/>
    <w:rsid w:val="00644FD6"/>
    <w:rsid w:val="0064650B"/>
    <w:rsid w:val="00646CFE"/>
    <w:rsid w:val="00646FF5"/>
    <w:rsid w:val="0065022E"/>
    <w:rsid w:val="0065047A"/>
    <w:rsid w:val="006510E7"/>
    <w:rsid w:val="006528D5"/>
    <w:rsid w:val="00652FBC"/>
    <w:rsid w:val="006545FA"/>
    <w:rsid w:val="006556B0"/>
    <w:rsid w:val="0065588A"/>
    <w:rsid w:val="00655983"/>
    <w:rsid w:val="006571CF"/>
    <w:rsid w:val="00657A63"/>
    <w:rsid w:val="006604CA"/>
    <w:rsid w:val="00660F72"/>
    <w:rsid w:val="006612B7"/>
    <w:rsid w:val="00661497"/>
    <w:rsid w:val="00661503"/>
    <w:rsid w:val="006616B8"/>
    <w:rsid w:val="00661EB0"/>
    <w:rsid w:val="0066235E"/>
    <w:rsid w:val="00662523"/>
    <w:rsid w:val="006627DB"/>
    <w:rsid w:val="00663E53"/>
    <w:rsid w:val="0066407C"/>
    <w:rsid w:val="006656D9"/>
    <w:rsid w:val="00665EE6"/>
    <w:rsid w:val="00666308"/>
    <w:rsid w:val="00666C4C"/>
    <w:rsid w:val="006671FD"/>
    <w:rsid w:val="00667518"/>
    <w:rsid w:val="00670D33"/>
    <w:rsid w:val="00670F5E"/>
    <w:rsid w:val="00671695"/>
    <w:rsid w:val="006725F0"/>
    <w:rsid w:val="00672A00"/>
    <w:rsid w:val="00674BD1"/>
    <w:rsid w:val="00674DCE"/>
    <w:rsid w:val="00674F00"/>
    <w:rsid w:val="00675348"/>
    <w:rsid w:val="00675AA6"/>
    <w:rsid w:val="00676955"/>
    <w:rsid w:val="00677048"/>
    <w:rsid w:val="00677419"/>
    <w:rsid w:val="006800BB"/>
    <w:rsid w:val="0068046C"/>
    <w:rsid w:val="0068138D"/>
    <w:rsid w:val="00681E95"/>
    <w:rsid w:val="00682363"/>
    <w:rsid w:val="006827E7"/>
    <w:rsid w:val="006828B7"/>
    <w:rsid w:val="00683085"/>
    <w:rsid w:val="00683424"/>
    <w:rsid w:val="00683ACE"/>
    <w:rsid w:val="00683E1A"/>
    <w:rsid w:val="0068574F"/>
    <w:rsid w:val="00686222"/>
    <w:rsid w:val="00686C68"/>
    <w:rsid w:val="00686F62"/>
    <w:rsid w:val="00687043"/>
    <w:rsid w:val="00690CBA"/>
    <w:rsid w:val="0069241A"/>
    <w:rsid w:val="00692B9A"/>
    <w:rsid w:val="006930ED"/>
    <w:rsid w:val="0069314A"/>
    <w:rsid w:val="006931B8"/>
    <w:rsid w:val="0069325C"/>
    <w:rsid w:val="006935B9"/>
    <w:rsid w:val="006938DD"/>
    <w:rsid w:val="00695224"/>
    <w:rsid w:val="006955FE"/>
    <w:rsid w:val="00695AF5"/>
    <w:rsid w:val="00696667"/>
    <w:rsid w:val="00696CE9"/>
    <w:rsid w:val="00696EA4"/>
    <w:rsid w:val="00697614"/>
    <w:rsid w:val="006A0811"/>
    <w:rsid w:val="006A0902"/>
    <w:rsid w:val="006A104A"/>
    <w:rsid w:val="006A1532"/>
    <w:rsid w:val="006A1BD9"/>
    <w:rsid w:val="006A1C53"/>
    <w:rsid w:val="006A1D13"/>
    <w:rsid w:val="006A20E5"/>
    <w:rsid w:val="006A231D"/>
    <w:rsid w:val="006A256B"/>
    <w:rsid w:val="006A2F27"/>
    <w:rsid w:val="006A333F"/>
    <w:rsid w:val="006A4A68"/>
    <w:rsid w:val="006A5013"/>
    <w:rsid w:val="006A5734"/>
    <w:rsid w:val="006A6598"/>
    <w:rsid w:val="006B035B"/>
    <w:rsid w:val="006B09B1"/>
    <w:rsid w:val="006B1298"/>
    <w:rsid w:val="006B1CFA"/>
    <w:rsid w:val="006B260C"/>
    <w:rsid w:val="006B2E18"/>
    <w:rsid w:val="006B328E"/>
    <w:rsid w:val="006B367C"/>
    <w:rsid w:val="006B3D4C"/>
    <w:rsid w:val="006B445B"/>
    <w:rsid w:val="006B457B"/>
    <w:rsid w:val="006B541F"/>
    <w:rsid w:val="006B66F8"/>
    <w:rsid w:val="006B6C8C"/>
    <w:rsid w:val="006B6CDF"/>
    <w:rsid w:val="006B77FE"/>
    <w:rsid w:val="006B7A32"/>
    <w:rsid w:val="006C0088"/>
    <w:rsid w:val="006C0913"/>
    <w:rsid w:val="006C2109"/>
    <w:rsid w:val="006C2237"/>
    <w:rsid w:val="006C2263"/>
    <w:rsid w:val="006C3C53"/>
    <w:rsid w:val="006C3CBA"/>
    <w:rsid w:val="006C3E96"/>
    <w:rsid w:val="006C4AC7"/>
    <w:rsid w:val="006C4CDC"/>
    <w:rsid w:val="006C5F50"/>
    <w:rsid w:val="006C7110"/>
    <w:rsid w:val="006D0435"/>
    <w:rsid w:val="006D05D8"/>
    <w:rsid w:val="006D0BDD"/>
    <w:rsid w:val="006D0CDA"/>
    <w:rsid w:val="006D1772"/>
    <w:rsid w:val="006D1EEC"/>
    <w:rsid w:val="006D1FEE"/>
    <w:rsid w:val="006D2762"/>
    <w:rsid w:val="006D281A"/>
    <w:rsid w:val="006D32D2"/>
    <w:rsid w:val="006D3DD7"/>
    <w:rsid w:val="006D41C9"/>
    <w:rsid w:val="006D5920"/>
    <w:rsid w:val="006D59CA"/>
    <w:rsid w:val="006D66BC"/>
    <w:rsid w:val="006D76B7"/>
    <w:rsid w:val="006D7DAF"/>
    <w:rsid w:val="006D7DC5"/>
    <w:rsid w:val="006E0848"/>
    <w:rsid w:val="006E1622"/>
    <w:rsid w:val="006E17E5"/>
    <w:rsid w:val="006E28B4"/>
    <w:rsid w:val="006E3D5A"/>
    <w:rsid w:val="006E42A9"/>
    <w:rsid w:val="006E4C76"/>
    <w:rsid w:val="006E5268"/>
    <w:rsid w:val="006E5476"/>
    <w:rsid w:val="006E5C0D"/>
    <w:rsid w:val="006E6F04"/>
    <w:rsid w:val="006E6FF8"/>
    <w:rsid w:val="006E7584"/>
    <w:rsid w:val="006E7CFD"/>
    <w:rsid w:val="006F0B48"/>
    <w:rsid w:val="006F111D"/>
    <w:rsid w:val="006F17B1"/>
    <w:rsid w:val="006F2601"/>
    <w:rsid w:val="006F2800"/>
    <w:rsid w:val="006F2C93"/>
    <w:rsid w:val="006F3E90"/>
    <w:rsid w:val="006F4A3B"/>
    <w:rsid w:val="006F6278"/>
    <w:rsid w:val="00701022"/>
    <w:rsid w:val="0070121B"/>
    <w:rsid w:val="0070184D"/>
    <w:rsid w:val="00701DDF"/>
    <w:rsid w:val="00701EC8"/>
    <w:rsid w:val="00702158"/>
    <w:rsid w:val="00702247"/>
    <w:rsid w:val="0070269A"/>
    <w:rsid w:val="007026FD"/>
    <w:rsid w:val="00704CBD"/>
    <w:rsid w:val="007059E9"/>
    <w:rsid w:val="00705DC2"/>
    <w:rsid w:val="0070655B"/>
    <w:rsid w:val="00707DE3"/>
    <w:rsid w:val="00710292"/>
    <w:rsid w:val="007117D5"/>
    <w:rsid w:val="00712732"/>
    <w:rsid w:val="00712EBB"/>
    <w:rsid w:val="007134A4"/>
    <w:rsid w:val="00714054"/>
    <w:rsid w:val="00714083"/>
    <w:rsid w:val="00715A69"/>
    <w:rsid w:val="00716559"/>
    <w:rsid w:val="0071714B"/>
    <w:rsid w:val="00717558"/>
    <w:rsid w:val="007205F0"/>
    <w:rsid w:val="00721A3E"/>
    <w:rsid w:val="0072271B"/>
    <w:rsid w:val="00722BCC"/>
    <w:rsid w:val="007233E2"/>
    <w:rsid w:val="00723C90"/>
    <w:rsid w:val="00724702"/>
    <w:rsid w:val="007249F5"/>
    <w:rsid w:val="007257C5"/>
    <w:rsid w:val="007258FF"/>
    <w:rsid w:val="007264FB"/>
    <w:rsid w:val="00727237"/>
    <w:rsid w:val="00727B2A"/>
    <w:rsid w:val="00730545"/>
    <w:rsid w:val="00730CB7"/>
    <w:rsid w:val="00733153"/>
    <w:rsid w:val="00733B22"/>
    <w:rsid w:val="00733D76"/>
    <w:rsid w:val="00734A07"/>
    <w:rsid w:val="007367CA"/>
    <w:rsid w:val="00736C6D"/>
    <w:rsid w:val="007375EE"/>
    <w:rsid w:val="00737C0A"/>
    <w:rsid w:val="00740187"/>
    <w:rsid w:val="00740D41"/>
    <w:rsid w:val="00741C58"/>
    <w:rsid w:val="00741C5E"/>
    <w:rsid w:val="00743262"/>
    <w:rsid w:val="0074424F"/>
    <w:rsid w:val="007444BF"/>
    <w:rsid w:val="007444FA"/>
    <w:rsid w:val="007463BC"/>
    <w:rsid w:val="00746F94"/>
    <w:rsid w:val="00747C97"/>
    <w:rsid w:val="00747CEF"/>
    <w:rsid w:val="00747E71"/>
    <w:rsid w:val="007501EF"/>
    <w:rsid w:val="0075028B"/>
    <w:rsid w:val="00750482"/>
    <w:rsid w:val="00750D85"/>
    <w:rsid w:val="00750D90"/>
    <w:rsid w:val="00751041"/>
    <w:rsid w:val="00752FEA"/>
    <w:rsid w:val="0075312E"/>
    <w:rsid w:val="00753320"/>
    <w:rsid w:val="00753B52"/>
    <w:rsid w:val="0075464B"/>
    <w:rsid w:val="0075498F"/>
    <w:rsid w:val="0075523F"/>
    <w:rsid w:val="00755E79"/>
    <w:rsid w:val="00756F86"/>
    <w:rsid w:val="00757844"/>
    <w:rsid w:val="0076013E"/>
    <w:rsid w:val="00761B39"/>
    <w:rsid w:val="00762011"/>
    <w:rsid w:val="00763A63"/>
    <w:rsid w:val="00763A71"/>
    <w:rsid w:val="00764193"/>
    <w:rsid w:val="007645ED"/>
    <w:rsid w:val="00765EDC"/>
    <w:rsid w:val="007660C6"/>
    <w:rsid w:val="00766B59"/>
    <w:rsid w:val="00767897"/>
    <w:rsid w:val="00770419"/>
    <w:rsid w:val="00770DA1"/>
    <w:rsid w:val="00772036"/>
    <w:rsid w:val="0077203D"/>
    <w:rsid w:val="00772114"/>
    <w:rsid w:val="00772150"/>
    <w:rsid w:val="007721E3"/>
    <w:rsid w:val="00774222"/>
    <w:rsid w:val="00775850"/>
    <w:rsid w:val="00775C24"/>
    <w:rsid w:val="00776534"/>
    <w:rsid w:val="007768AE"/>
    <w:rsid w:val="00777098"/>
    <w:rsid w:val="00777322"/>
    <w:rsid w:val="007775D5"/>
    <w:rsid w:val="00777C1D"/>
    <w:rsid w:val="00780D57"/>
    <w:rsid w:val="00780F67"/>
    <w:rsid w:val="007818C5"/>
    <w:rsid w:val="00782F5F"/>
    <w:rsid w:val="00784306"/>
    <w:rsid w:val="00784450"/>
    <w:rsid w:val="007851D3"/>
    <w:rsid w:val="007857B5"/>
    <w:rsid w:val="007859B6"/>
    <w:rsid w:val="00785F9C"/>
    <w:rsid w:val="00786578"/>
    <w:rsid w:val="00786D03"/>
    <w:rsid w:val="00786E5B"/>
    <w:rsid w:val="007914C4"/>
    <w:rsid w:val="00792ACD"/>
    <w:rsid w:val="0079543C"/>
    <w:rsid w:val="00795707"/>
    <w:rsid w:val="007958A2"/>
    <w:rsid w:val="00795A32"/>
    <w:rsid w:val="00795C4E"/>
    <w:rsid w:val="00796292"/>
    <w:rsid w:val="00797438"/>
    <w:rsid w:val="00797A25"/>
    <w:rsid w:val="00797D43"/>
    <w:rsid w:val="007A03B1"/>
    <w:rsid w:val="007A0520"/>
    <w:rsid w:val="007A0A50"/>
    <w:rsid w:val="007A10E6"/>
    <w:rsid w:val="007A1136"/>
    <w:rsid w:val="007A241F"/>
    <w:rsid w:val="007A26FB"/>
    <w:rsid w:val="007A2E2F"/>
    <w:rsid w:val="007A46C9"/>
    <w:rsid w:val="007A477C"/>
    <w:rsid w:val="007A4B24"/>
    <w:rsid w:val="007A530D"/>
    <w:rsid w:val="007A5835"/>
    <w:rsid w:val="007A5CE6"/>
    <w:rsid w:val="007A7A89"/>
    <w:rsid w:val="007B164C"/>
    <w:rsid w:val="007B3EEC"/>
    <w:rsid w:val="007B3F83"/>
    <w:rsid w:val="007B4D02"/>
    <w:rsid w:val="007B62F5"/>
    <w:rsid w:val="007B6391"/>
    <w:rsid w:val="007B6B9A"/>
    <w:rsid w:val="007B7ACF"/>
    <w:rsid w:val="007C07D2"/>
    <w:rsid w:val="007C0C41"/>
    <w:rsid w:val="007C0E51"/>
    <w:rsid w:val="007C0F7B"/>
    <w:rsid w:val="007C10F5"/>
    <w:rsid w:val="007C1A08"/>
    <w:rsid w:val="007C1A56"/>
    <w:rsid w:val="007C22A2"/>
    <w:rsid w:val="007C2322"/>
    <w:rsid w:val="007C2370"/>
    <w:rsid w:val="007C3B5C"/>
    <w:rsid w:val="007C4B16"/>
    <w:rsid w:val="007C573D"/>
    <w:rsid w:val="007C5EB7"/>
    <w:rsid w:val="007C650B"/>
    <w:rsid w:val="007C6933"/>
    <w:rsid w:val="007C7FB6"/>
    <w:rsid w:val="007D04E6"/>
    <w:rsid w:val="007D06EE"/>
    <w:rsid w:val="007D077D"/>
    <w:rsid w:val="007D0C46"/>
    <w:rsid w:val="007D0D57"/>
    <w:rsid w:val="007D1E11"/>
    <w:rsid w:val="007D20B0"/>
    <w:rsid w:val="007D22B8"/>
    <w:rsid w:val="007D2656"/>
    <w:rsid w:val="007D3ABD"/>
    <w:rsid w:val="007D3FAE"/>
    <w:rsid w:val="007D499C"/>
    <w:rsid w:val="007D4BBF"/>
    <w:rsid w:val="007D576A"/>
    <w:rsid w:val="007D7965"/>
    <w:rsid w:val="007E0EDD"/>
    <w:rsid w:val="007E0F1F"/>
    <w:rsid w:val="007E1165"/>
    <w:rsid w:val="007E116C"/>
    <w:rsid w:val="007E24F9"/>
    <w:rsid w:val="007E2D10"/>
    <w:rsid w:val="007E4431"/>
    <w:rsid w:val="007E479E"/>
    <w:rsid w:val="007E4FAE"/>
    <w:rsid w:val="007E5416"/>
    <w:rsid w:val="007E5691"/>
    <w:rsid w:val="007E56DD"/>
    <w:rsid w:val="007E614B"/>
    <w:rsid w:val="007E652F"/>
    <w:rsid w:val="007E6F67"/>
    <w:rsid w:val="007E7BB8"/>
    <w:rsid w:val="007E7BEA"/>
    <w:rsid w:val="007F0400"/>
    <w:rsid w:val="007F040C"/>
    <w:rsid w:val="007F0A9F"/>
    <w:rsid w:val="007F0BD1"/>
    <w:rsid w:val="007F2143"/>
    <w:rsid w:val="007F268D"/>
    <w:rsid w:val="007F2AD8"/>
    <w:rsid w:val="007F2BEA"/>
    <w:rsid w:val="007F36BA"/>
    <w:rsid w:val="007F446A"/>
    <w:rsid w:val="007F45C9"/>
    <w:rsid w:val="007F497F"/>
    <w:rsid w:val="007F5124"/>
    <w:rsid w:val="007F53C0"/>
    <w:rsid w:val="007F59F5"/>
    <w:rsid w:val="007F6AC2"/>
    <w:rsid w:val="00801AB1"/>
    <w:rsid w:val="008033B8"/>
    <w:rsid w:val="00803689"/>
    <w:rsid w:val="00803EAF"/>
    <w:rsid w:val="00803EBA"/>
    <w:rsid w:val="0080498C"/>
    <w:rsid w:val="00805B7B"/>
    <w:rsid w:val="00805D34"/>
    <w:rsid w:val="00805E96"/>
    <w:rsid w:val="00806393"/>
    <w:rsid w:val="00813405"/>
    <w:rsid w:val="0081357E"/>
    <w:rsid w:val="00813C9D"/>
    <w:rsid w:val="00816BEF"/>
    <w:rsid w:val="008179EA"/>
    <w:rsid w:val="00817C35"/>
    <w:rsid w:val="0082025A"/>
    <w:rsid w:val="0082044F"/>
    <w:rsid w:val="00820DEF"/>
    <w:rsid w:val="008211EA"/>
    <w:rsid w:val="00821B46"/>
    <w:rsid w:val="00821EFF"/>
    <w:rsid w:val="008222AD"/>
    <w:rsid w:val="00822561"/>
    <w:rsid w:val="008225F9"/>
    <w:rsid w:val="00822732"/>
    <w:rsid w:val="008227BB"/>
    <w:rsid w:val="00822FFE"/>
    <w:rsid w:val="00823691"/>
    <w:rsid w:val="00824CC3"/>
    <w:rsid w:val="0083004B"/>
    <w:rsid w:val="00830AF2"/>
    <w:rsid w:val="00830EAB"/>
    <w:rsid w:val="008310D2"/>
    <w:rsid w:val="0083124D"/>
    <w:rsid w:val="0083139E"/>
    <w:rsid w:val="00831C67"/>
    <w:rsid w:val="00831F24"/>
    <w:rsid w:val="00832458"/>
    <w:rsid w:val="00832601"/>
    <w:rsid w:val="0083264F"/>
    <w:rsid w:val="00832AD0"/>
    <w:rsid w:val="00832B96"/>
    <w:rsid w:val="00832DD9"/>
    <w:rsid w:val="0083311F"/>
    <w:rsid w:val="008338F6"/>
    <w:rsid w:val="008341AE"/>
    <w:rsid w:val="0083687A"/>
    <w:rsid w:val="00840A8B"/>
    <w:rsid w:val="00841483"/>
    <w:rsid w:val="00841487"/>
    <w:rsid w:val="00842ACC"/>
    <w:rsid w:val="0084457D"/>
    <w:rsid w:val="00844AC8"/>
    <w:rsid w:val="0084510F"/>
    <w:rsid w:val="008452AF"/>
    <w:rsid w:val="008454E1"/>
    <w:rsid w:val="00845E68"/>
    <w:rsid w:val="008460C4"/>
    <w:rsid w:val="008469B2"/>
    <w:rsid w:val="00846FC6"/>
    <w:rsid w:val="008472DB"/>
    <w:rsid w:val="008476CA"/>
    <w:rsid w:val="00850E57"/>
    <w:rsid w:val="0085101E"/>
    <w:rsid w:val="00851E82"/>
    <w:rsid w:val="00852470"/>
    <w:rsid w:val="00852846"/>
    <w:rsid w:val="0085302F"/>
    <w:rsid w:val="008538E8"/>
    <w:rsid w:val="00854CBF"/>
    <w:rsid w:val="00855836"/>
    <w:rsid w:val="00855C11"/>
    <w:rsid w:val="008566CA"/>
    <w:rsid w:val="008568C5"/>
    <w:rsid w:val="00860F6F"/>
    <w:rsid w:val="0086178C"/>
    <w:rsid w:val="0086242F"/>
    <w:rsid w:val="00862D18"/>
    <w:rsid w:val="008632E4"/>
    <w:rsid w:val="00864BA7"/>
    <w:rsid w:val="00864FA0"/>
    <w:rsid w:val="00864FD5"/>
    <w:rsid w:val="00865B58"/>
    <w:rsid w:val="00866BC3"/>
    <w:rsid w:val="00867216"/>
    <w:rsid w:val="0086743B"/>
    <w:rsid w:val="00867746"/>
    <w:rsid w:val="0087154B"/>
    <w:rsid w:val="00871579"/>
    <w:rsid w:val="00871B86"/>
    <w:rsid w:val="00872962"/>
    <w:rsid w:val="008731BF"/>
    <w:rsid w:val="00873A05"/>
    <w:rsid w:val="00873C79"/>
    <w:rsid w:val="00873FE1"/>
    <w:rsid w:val="008741E0"/>
    <w:rsid w:val="008742B8"/>
    <w:rsid w:val="00874AFA"/>
    <w:rsid w:val="00874C43"/>
    <w:rsid w:val="00875044"/>
    <w:rsid w:val="008752CF"/>
    <w:rsid w:val="00875326"/>
    <w:rsid w:val="00876093"/>
    <w:rsid w:val="008762C0"/>
    <w:rsid w:val="0087641F"/>
    <w:rsid w:val="008774B2"/>
    <w:rsid w:val="008815C0"/>
    <w:rsid w:val="00881964"/>
    <w:rsid w:val="008832BB"/>
    <w:rsid w:val="0088412E"/>
    <w:rsid w:val="00884D1C"/>
    <w:rsid w:val="00884DE8"/>
    <w:rsid w:val="008864C3"/>
    <w:rsid w:val="008865D3"/>
    <w:rsid w:val="00886925"/>
    <w:rsid w:val="00886B83"/>
    <w:rsid w:val="00887AA2"/>
    <w:rsid w:val="00887EDE"/>
    <w:rsid w:val="008916E6"/>
    <w:rsid w:val="00891B0F"/>
    <w:rsid w:val="00892246"/>
    <w:rsid w:val="008926B9"/>
    <w:rsid w:val="00892BD6"/>
    <w:rsid w:val="00894579"/>
    <w:rsid w:val="00895C6B"/>
    <w:rsid w:val="00896A5C"/>
    <w:rsid w:val="008A0126"/>
    <w:rsid w:val="008A0954"/>
    <w:rsid w:val="008A0D61"/>
    <w:rsid w:val="008A1030"/>
    <w:rsid w:val="008A241B"/>
    <w:rsid w:val="008A24FA"/>
    <w:rsid w:val="008A2A96"/>
    <w:rsid w:val="008A531F"/>
    <w:rsid w:val="008A595A"/>
    <w:rsid w:val="008A596A"/>
    <w:rsid w:val="008A5C0A"/>
    <w:rsid w:val="008A636F"/>
    <w:rsid w:val="008A6F31"/>
    <w:rsid w:val="008A79F4"/>
    <w:rsid w:val="008A7BDE"/>
    <w:rsid w:val="008A7E95"/>
    <w:rsid w:val="008A7EC2"/>
    <w:rsid w:val="008B1063"/>
    <w:rsid w:val="008B2637"/>
    <w:rsid w:val="008B33C4"/>
    <w:rsid w:val="008B379F"/>
    <w:rsid w:val="008B45A5"/>
    <w:rsid w:val="008B4B07"/>
    <w:rsid w:val="008B5768"/>
    <w:rsid w:val="008B5B1F"/>
    <w:rsid w:val="008B5F93"/>
    <w:rsid w:val="008B5FD5"/>
    <w:rsid w:val="008B665C"/>
    <w:rsid w:val="008B6948"/>
    <w:rsid w:val="008B6D55"/>
    <w:rsid w:val="008B6DA0"/>
    <w:rsid w:val="008B6E0E"/>
    <w:rsid w:val="008B74A5"/>
    <w:rsid w:val="008C0190"/>
    <w:rsid w:val="008C01FF"/>
    <w:rsid w:val="008C2E36"/>
    <w:rsid w:val="008C32C7"/>
    <w:rsid w:val="008C3D0F"/>
    <w:rsid w:val="008C455A"/>
    <w:rsid w:val="008C4EDA"/>
    <w:rsid w:val="008C52C4"/>
    <w:rsid w:val="008C562A"/>
    <w:rsid w:val="008C5863"/>
    <w:rsid w:val="008C6ABA"/>
    <w:rsid w:val="008C6D7A"/>
    <w:rsid w:val="008C7124"/>
    <w:rsid w:val="008C713E"/>
    <w:rsid w:val="008C7514"/>
    <w:rsid w:val="008C7A3C"/>
    <w:rsid w:val="008C7B9B"/>
    <w:rsid w:val="008C7DF0"/>
    <w:rsid w:val="008D0D6B"/>
    <w:rsid w:val="008D0E73"/>
    <w:rsid w:val="008D1470"/>
    <w:rsid w:val="008D14B9"/>
    <w:rsid w:val="008D1648"/>
    <w:rsid w:val="008D1892"/>
    <w:rsid w:val="008D2745"/>
    <w:rsid w:val="008D7B73"/>
    <w:rsid w:val="008E16C1"/>
    <w:rsid w:val="008E1922"/>
    <w:rsid w:val="008E1F25"/>
    <w:rsid w:val="008E27CB"/>
    <w:rsid w:val="008E2AE3"/>
    <w:rsid w:val="008E2D72"/>
    <w:rsid w:val="008E449D"/>
    <w:rsid w:val="008E57B4"/>
    <w:rsid w:val="008E6791"/>
    <w:rsid w:val="008E6C17"/>
    <w:rsid w:val="008E6E9E"/>
    <w:rsid w:val="008E7C43"/>
    <w:rsid w:val="008F06E3"/>
    <w:rsid w:val="008F0811"/>
    <w:rsid w:val="008F0968"/>
    <w:rsid w:val="008F1C27"/>
    <w:rsid w:val="008F2C96"/>
    <w:rsid w:val="008F3AB4"/>
    <w:rsid w:val="008F432B"/>
    <w:rsid w:val="008F43F9"/>
    <w:rsid w:val="008F4452"/>
    <w:rsid w:val="008F4FFD"/>
    <w:rsid w:val="008F6B7D"/>
    <w:rsid w:val="008F6E39"/>
    <w:rsid w:val="008F7D13"/>
    <w:rsid w:val="00900127"/>
    <w:rsid w:val="00900473"/>
    <w:rsid w:val="009008C4"/>
    <w:rsid w:val="009013F6"/>
    <w:rsid w:val="00901880"/>
    <w:rsid w:val="00901EB2"/>
    <w:rsid w:val="00902242"/>
    <w:rsid w:val="00902AA5"/>
    <w:rsid w:val="00903BA1"/>
    <w:rsid w:val="0090589C"/>
    <w:rsid w:val="00905A66"/>
    <w:rsid w:val="00905DB4"/>
    <w:rsid w:val="00905E7B"/>
    <w:rsid w:val="00906C94"/>
    <w:rsid w:val="00912B9A"/>
    <w:rsid w:val="009130F8"/>
    <w:rsid w:val="00913494"/>
    <w:rsid w:val="00913A6F"/>
    <w:rsid w:val="00913C46"/>
    <w:rsid w:val="00913F80"/>
    <w:rsid w:val="009144B3"/>
    <w:rsid w:val="00914654"/>
    <w:rsid w:val="00914F50"/>
    <w:rsid w:val="009151B7"/>
    <w:rsid w:val="009152A9"/>
    <w:rsid w:val="00915AFA"/>
    <w:rsid w:val="00916292"/>
    <w:rsid w:val="00917D64"/>
    <w:rsid w:val="00921107"/>
    <w:rsid w:val="00921114"/>
    <w:rsid w:val="0092251C"/>
    <w:rsid w:val="009229C9"/>
    <w:rsid w:val="00922EF2"/>
    <w:rsid w:val="0092357A"/>
    <w:rsid w:val="0092402B"/>
    <w:rsid w:val="00925F80"/>
    <w:rsid w:val="00926773"/>
    <w:rsid w:val="00926DB9"/>
    <w:rsid w:val="00926DFE"/>
    <w:rsid w:val="00930B44"/>
    <w:rsid w:val="00931225"/>
    <w:rsid w:val="0093126B"/>
    <w:rsid w:val="009314FC"/>
    <w:rsid w:val="00931811"/>
    <w:rsid w:val="00931EFB"/>
    <w:rsid w:val="00932288"/>
    <w:rsid w:val="00932774"/>
    <w:rsid w:val="00932F73"/>
    <w:rsid w:val="009350DA"/>
    <w:rsid w:val="009357E4"/>
    <w:rsid w:val="00935975"/>
    <w:rsid w:val="00935CE8"/>
    <w:rsid w:val="0093791B"/>
    <w:rsid w:val="00940D6C"/>
    <w:rsid w:val="00941303"/>
    <w:rsid w:val="00941319"/>
    <w:rsid w:val="0094165E"/>
    <w:rsid w:val="009443AE"/>
    <w:rsid w:val="00944AF1"/>
    <w:rsid w:val="00944BA6"/>
    <w:rsid w:val="009455B5"/>
    <w:rsid w:val="009457AA"/>
    <w:rsid w:val="00946797"/>
    <w:rsid w:val="00946822"/>
    <w:rsid w:val="00946A55"/>
    <w:rsid w:val="00947C03"/>
    <w:rsid w:val="00950A7B"/>
    <w:rsid w:val="009511EB"/>
    <w:rsid w:val="00951C53"/>
    <w:rsid w:val="009550ED"/>
    <w:rsid w:val="00956153"/>
    <w:rsid w:val="009561B4"/>
    <w:rsid w:val="00956AA3"/>
    <w:rsid w:val="009574B7"/>
    <w:rsid w:val="009605C3"/>
    <w:rsid w:val="00960C66"/>
    <w:rsid w:val="009611D3"/>
    <w:rsid w:val="009616E2"/>
    <w:rsid w:val="00962193"/>
    <w:rsid w:val="009627CF"/>
    <w:rsid w:val="0096346D"/>
    <w:rsid w:val="00964D10"/>
    <w:rsid w:val="00965371"/>
    <w:rsid w:val="00965CC5"/>
    <w:rsid w:val="00965E71"/>
    <w:rsid w:val="009667F1"/>
    <w:rsid w:val="009668D3"/>
    <w:rsid w:val="009670C2"/>
    <w:rsid w:val="00970100"/>
    <w:rsid w:val="0097040B"/>
    <w:rsid w:val="0097042B"/>
    <w:rsid w:val="00970A28"/>
    <w:rsid w:val="00970CF9"/>
    <w:rsid w:val="00972177"/>
    <w:rsid w:val="00973DEE"/>
    <w:rsid w:val="00973DF4"/>
    <w:rsid w:val="00973FC2"/>
    <w:rsid w:val="00974556"/>
    <w:rsid w:val="00974624"/>
    <w:rsid w:val="00975300"/>
    <w:rsid w:val="009769C8"/>
    <w:rsid w:val="00976A59"/>
    <w:rsid w:val="009771B3"/>
    <w:rsid w:val="009773D6"/>
    <w:rsid w:val="00977C0C"/>
    <w:rsid w:val="00981B9C"/>
    <w:rsid w:val="00983210"/>
    <w:rsid w:val="0098376A"/>
    <w:rsid w:val="0098413C"/>
    <w:rsid w:val="00984A1A"/>
    <w:rsid w:val="0098560B"/>
    <w:rsid w:val="009861F2"/>
    <w:rsid w:val="009869D9"/>
    <w:rsid w:val="00986C00"/>
    <w:rsid w:val="009872EB"/>
    <w:rsid w:val="00987CEE"/>
    <w:rsid w:val="00990E73"/>
    <w:rsid w:val="00991EA5"/>
    <w:rsid w:val="00992B33"/>
    <w:rsid w:val="00993CA3"/>
    <w:rsid w:val="00993E4E"/>
    <w:rsid w:val="009945E8"/>
    <w:rsid w:val="00994751"/>
    <w:rsid w:val="00996A34"/>
    <w:rsid w:val="00997309"/>
    <w:rsid w:val="00997DE4"/>
    <w:rsid w:val="009A0F7D"/>
    <w:rsid w:val="009A1365"/>
    <w:rsid w:val="009A20BC"/>
    <w:rsid w:val="009A24FB"/>
    <w:rsid w:val="009A26E1"/>
    <w:rsid w:val="009A3C08"/>
    <w:rsid w:val="009A55FF"/>
    <w:rsid w:val="009A57CD"/>
    <w:rsid w:val="009A5DEE"/>
    <w:rsid w:val="009A6783"/>
    <w:rsid w:val="009A7AFF"/>
    <w:rsid w:val="009A7D13"/>
    <w:rsid w:val="009B03E8"/>
    <w:rsid w:val="009B0DA6"/>
    <w:rsid w:val="009B1A87"/>
    <w:rsid w:val="009B1D9F"/>
    <w:rsid w:val="009B2081"/>
    <w:rsid w:val="009B20D8"/>
    <w:rsid w:val="009B2576"/>
    <w:rsid w:val="009B297F"/>
    <w:rsid w:val="009B303B"/>
    <w:rsid w:val="009B31C1"/>
    <w:rsid w:val="009B3D52"/>
    <w:rsid w:val="009B4548"/>
    <w:rsid w:val="009B4699"/>
    <w:rsid w:val="009B4E55"/>
    <w:rsid w:val="009B5882"/>
    <w:rsid w:val="009B6A64"/>
    <w:rsid w:val="009B7ADA"/>
    <w:rsid w:val="009B7BF5"/>
    <w:rsid w:val="009C0631"/>
    <w:rsid w:val="009C0A21"/>
    <w:rsid w:val="009C1008"/>
    <w:rsid w:val="009C1AFF"/>
    <w:rsid w:val="009C218C"/>
    <w:rsid w:val="009C2AD1"/>
    <w:rsid w:val="009C2C60"/>
    <w:rsid w:val="009C33E2"/>
    <w:rsid w:val="009C3B12"/>
    <w:rsid w:val="009C3EC8"/>
    <w:rsid w:val="009C47F5"/>
    <w:rsid w:val="009C59C1"/>
    <w:rsid w:val="009C6158"/>
    <w:rsid w:val="009C6347"/>
    <w:rsid w:val="009C6874"/>
    <w:rsid w:val="009C6BB0"/>
    <w:rsid w:val="009C7ACB"/>
    <w:rsid w:val="009C7EF2"/>
    <w:rsid w:val="009D16B6"/>
    <w:rsid w:val="009D1939"/>
    <w:rsid w:val="009D1953"/>
    <w:rsid w:val="009D1BAB"/>
    <w:rsid w:val="009D2149"/>
    <w:rsid w:val="009D2F15"/>
    <w:rsid w:val="009D3F25"/>
    <w:rsid w:val="009D4B3F"/>
    <w:rsid w:val="009D4D1B"/>
    <w:rsid w:val="009D5899"/>
    <w:rsid w:val="009D648F"/>
    <w:rsid w:val="009D737C"/>
    <w:rsid w:val="009D7C02"/>
    <w:rsid w:val="009D7DFD"/>
    <w:rsid w:val="009E0DA5"/>
    <w:rsid w:val="009E1058"/>
    <w:rsid w:val="009E15A4"/>
    <w:rsid w:val="009E2248"/>
    <w:rsid w:val="009E284A"/>
    <w:rsid w:val="009E4179"/>
    <w:rsid w:val="009E4517"/>
    <w:rsid w:val="009E4732"/>
    <w:rsid w:val="009E59F4"/>
    <w:rsid w:val="009E5B76"/>
    <w:rsid w:val="009E5D79"/>
    <w:rsid w:val="009E7266"/>
    <w:rsid w:val="009E7D74"/>
    <w:rsid w:val="009F0190"/>
    <w:rsid w:val="009F0E1F"/>
    <w:rsid w:val="009F0F0E"/>
    <w:rsid w:val="009F1217"/>
    <w:rsid w:val="009F1D5A"/>
    <w:rsid w:val="009F1DEF"/>
    <w:rsid w:val="009F2418"/>
    <w:rsid w:val="009F2588"/>
    <w:rsid w:val="009F3A09"/>
    <w:rsid w:val="009F4228"/>
    <w:rsid w:val="009F7480"/>
    <w:rsid w:val="00A0011D"/>
    <w:rsid w:val="00A00170"/>
    <w:rsid w:val="00A01E51"/>
    <w:rsid w:val="00A03CB3"/>
    <w:rsid w:val="00A04433"/>
    <w:rsid w:val="00A04886"/>
    <w:rsid w:val="00A04BC8"/>
    <w:rsid w:val="00A0551C"/>
    <w:rsid w:val="00A05BB8"/>
    <w:rsid w:val="00A05FA8"/>
    <w:rsid w:val="00A06427"/>
    <w:rsid w:val="00A076BA"/>
    <w:rsid w:val="00A10913"/>
    <w:rsid w:val="00A10FF8"/>
    <w:rsid w:val="00A121A7"/>
    <w:rsid w:val="00A1221B"/>
    <w:rsid w:val="00A12416"/>
    <w:rsid w:val="00A1281D"/>
    <w:rsid w:val="00A12C57"/>
    <w:rsid w:val="00A136C6"/>
    <w:rsid w:val="00A136CE"/>
    <w:rsid w:val="00A13755"/>
    <w:rsid w:val="00A13A89"/>
    <w:rsid w:val="00A14256"/>
    <w:rsid w:val="00A14935"/>
    <w:rsid w:val="00A14BAC"/>
    <w:rsid w:val="00A14D5C"/>
    <w:rsid w:val="00A154F9"/>
    <w:rsid w:val="00A15B30"/>
    <w:rsid w:val="00A1666B"/>
    <w:rsid w:val="00A176D9"/>
    <w:rsid w:val="00A17BA4"/>
    <w:rsid w:val="00A207DC"/>
    <w:rsid w:val="00A2084F"/>
    <w:rsid w:val="00A20988"/>
    <w:rsid w:val="00A21118"/>
    <w:rsid w:val="00A22977"/>
    <w:rsid w:val="00A238CD"/>
    <w:rsid w:val="00A23A82"/>
    <w:rsid w:val="00A241F9"/>
    <w:rsid w:val="00A244C5"/>
    <w:rsid w:val="00A252B6"/>
    <w:rsid w:val="00A26788"/>
    <w:rsid w:val="00A2738E"/>
    <w:rsid w:val="00A275BE"/>
    <w:rsid w:val="00A27A38"/>
    <w:rsid w:val="00A27C3C"/>
    <w:rsid w:val="00A27D03"/>
    <w:rsid w:val="00A27DB4"/>
    <w:rsid w:val="00A30015"/>
    <w:rsid w:val="00A31308"/>
    <w:rsid w:val="00A314A0"/>
    <w:rsid w:val="00A3182B"/>
    <w:rsid w:val="00A31E50"/>
    <w:rsid w:val="00A320DB"/>
    <w:rsid w:val="00A3249C"/>
    <w:rsid w:val="00A33395"/>
    <w:rsid w:val="00A3410E"/>
    <w:rsid w:val="00A34CD7"/>
    <w:rsid w:val="00A35ACD"/>
    <w:rsid w:val="00A35AFF"/>
    <w:rsid w:val="00A36A84"/>
    <w:rsid w:val="00A370B4"/>
    <w:rsid w:val="00A37290"/>
    <w:rsid w:val="00A37836"/>
    <w:rsid w:val="00A4292D"/>
    <w:rsid w:val="00A4334A"/>
    <w:rsid w:val="00A444FD"/>
    <w:rsid w:val="00A44DBE"/>
    <w:rsid w:val="00A4513E"/>
    <w:rsid w:val="00A50E22"/>
    <w:rsid w:val="00A5127B"/>
    <w:rsid w:val="00A51744"/>
    <w:rsid w:val="00A518A1"/>
    <w:rsid w:val="00A53746"/>
    <w:rsid w:val="00A54141"/>
    <w:rsid w:val="00A54811"/>
    <w:rsid w:val="00A54BD8"/>
    <w:rsid w:val="00A54CB9"/>
    <w:rsid w:val="00A56340"/>
    <w:rsid w:val="00A57A69"/>
    <w:rsid w:val="00A57D6E"/>
    <w:rsid w:val="00A57F82"/>
    <w:rsid w:val="00A60CFB"/>
    <w:rsid w:val="00A60EF5"/>
    <w:rsid w:val="00A60FE1"/>
    <w:rsid w:val="00A61853"/>
    <w:rsid w:val="00A618C6"/>
    <w:rsid w:val="00A6237C"/>
    <w:rsid w:val="00A62B7D"/>
    <w:rsid w:val="00A62E31"/>
    <w:rsid w:val="00A6317B"/>
    <w:rsid w:val="00A63184"/>
    <w:rsid w:val="00A63482"/>
    <w:rsid w:val="00A63DF1"/>
    <w:rsid w:val="00A647CD"/>
    <w:rsid w:val="00A6560B"/>
    <w:rsid w:val="00A656F1"/>
    <w:rsid w:val="00A65C42"/>
    <w:rsid w:val="00A66396"/>
    <w:rsid w:val="00A66A8E"/>
    <w:rsid w:val="00A671D1"/>
    <w:rsid w:val="00A7234D"/>
    <w:rsid w:val="00A747CC"/>
    <w:rsid w:val="00A754DD"/>
    <w:rsid w:val="00A75510"/>
    <w:rsid w:val="00A75723"/>
    <w:rsid w:val="00A7575D"/>
    <w:rsid w:val="00A75E47"/>
    <w:rsid w:val="00A762F9"/>
    <w:rsid w:val="00A76961"/>
    <w:rsid w:val="00A76BFB"/>
    <w:rsid w:val="00A81A20"/>
    <w:rsid w:val="00A821CF"/>
    <w:rsid w:val="00A829F1"/>
    <w:rsid w:val="00A82EDC"/>
    <w:rsid w:val="00A83DDC"/>
    <w:rsid w:val="00A83F37"/>
    <w:rsid w:val="00A84BED"/>
    <w:rsid w:val="00A8536F"/>
    <w:rsid w:val="00A857C4"/>
    <w:rsid w:val="00A85CD9"/>
    <w:rsid w:val="00A85E27"/>
    <w:rsid w:val="00A85F0A"/>
    <w:rsid w:val="00A86D6F"/>
    <w:rsid w:val="00A86E3E"/>
    <w:rsid w:val="00A87BAE"/>
    <w:rsid w:val="00A90976"/>
    <w:rsid w:val="00A919F1"/>
    <w:rsid w:val="00A92491"/>
    <w:rsid w:val="00A925DB"/>
    <w:rsid w:val="00A94354"/>
    <w:rsid w:val="00A94796"/>
    <w:rsid w:val="00A951AC"/>
    <w:rsid w:val="00A96EF6"/>
    <w:rsid w:val="00AA01B8"/>
    <w:rsid w:val="00AA14C3"/>
    <w:rsid w:val="00AA34A6"/>
    <w:rsid w:val="00AA3FA7"/>
    <w:rsid w:val="00AA4239"/>
    <w:rsid w:val="00AA4D46"/>
    <w:rsid w:val="00AA6816"/>
    <w:rsid w:val="00AA704F"/>
    <w:rsid w:val="00AB0EF6"/>
    <w:rsid w:val="00AB13D6"/>
    <w:rsid w:val="00AB1B38"/>
    <w:rsid w:val="00AB217D"/>
    <w:rsid w:val="00AB2581"/>
    <w:rsid w:val="00AB2643"/>
    <w:rsid w:val="00AB27C6"/>
    <w:rsid w:val="00AB354B"/>
    <w:rsid w:val="00AB3C78"/>
    <w:rsid w:val="00AB3F18"/>
    <w:rsid w:val="00AB4013"/>
    <w:rsid w:val="00AB40E0"/>
    <w:rsid w:val="00AB462F"/>
    <w:rsid w:val="00AB4C0D"/>
    <w:rsid w:val="00AB557D"/>
    <w:rsid w:val="00AB6533"/>
    <w:rsid w:val="00AB689D"/>
    <w:rsid w:val="00AB6EB6"/>
    <w:rsid w:val="00AB7AFF"/>
    <w:rsid w:val="00AC0687"/>
    <w:rsid w:val="00AC070D"/>
    <w:rsid w:val="00AC1EB2"/>
    <w:rsid w:val="00AC2A94"/>
    <w:rsid w:val="00AC2E66"/>
    <w:rsid w:val="00AC322C"/>
    <w:rsid w:val="00AC33E2"/>
    <w:rsid w:val="00AC3674"/>
    <w:rsid w:val="00AC3712"/>
    <w:rsid w:val="00AC4A20"/>
    <w:rsid w:val="00AC4FEA"/>
    <w:rsid w:val="00AC5213"/>
    <w:rsid w:val="00AC53F3"/>
    <w:rsid w:val="00AC584E"/>
    <w:rsid w:val="00AC5A32"/>
    <w:rsid w:val="00AC5B6E"/>
    <w:rsid w:val="00AC61A5"/>
    <w:rsid w:val="00AD0A32"/>
    <w:rsid w:val="00AD1442"/>
    <w:rsid w:val="00AD14AB"/>
    <w:rsid w:val="00AD1955"/>
    <w:rsid w:val="00AD1B73"/>
    <w:rsid w:val="00AD20ED"/>
    <w:rsid w:val="00AD2D01"/>
    <w:rsid w:val="00AD2D3C"/>
    <w:rsid w:val="00AD2FE7"/>
    <w:rsid w:val="00AD30DD"/>
    <w:rsid w:val="00AD3BC2"/>
    <w:rsid w:val="00AD4434"/>
    <w:rsid w:val="00AD4438"/>
    <w:rsid w:val="00AD53AA"/>
    <w:rsid w:val="00AD79BF"/>
    <w:rsid w:val="00AE0A7F"/>
    <w:rsid w:val="00AE144D"/>
    <w:rsid w:val="00AE182F"/>
    <w:rsid w:val="00AE1D52"/>
    <w:rsid w:val="00AE2133"/>
    <w:rsid w:val="00AE43F4"/>
    <w:rsid w:val="00AE4A93"/>
    <w:rsid w:val="00AE4AB5"/>
    <w:rsid w:val="00AE5099"/>
    <w:rsid w:val="00AE50D8"/>
    <w:rsid w:val="00AE606A"/>
    <w:rsid w:val="00AE6591"/>
    <w:rsid w:val="00AE6782"/>
    <w:rsid w:val="00AE70BD"/>
    <w:rsid w:val="00AF0A66"/>
    <w:rsid w:val="00AF0CF8"/>
    <w:rsid w:val="00AF1FE9"/>
    <w:rsid w:val="00AF262C"/>
    <w:rsid w:val="00AF415A"/>
    <w:rsid w:val="00AF44F2"/>
    <w:rsid w:val="00AF53AB"/>
    <w:rsid w:val="00AF53BA"/>
    <w:rsid w:val="00AF69B4"/>
    <w:rsid w:val="00AF6B70"/>
    <w:rsid w:val="00AF717B"/>
    <w:rsid w:val="00AF7E65"/>
    <w:rsid w:val="00AF7EAB"/>
    <w:rsid w:val="00B00D77"/>
    <w:rsid w:val="00B01283"/>
    <w:rsid w:val="00B0153C"/>
    <w:rsid w:val="00B0157F"/>
    <w:rsid w:val="00B01A50"/>
    <w:rsid w:val="00B02A46"/>
    <w:rsid w:val="00B03315"/>
    <w:rsid w:val="00B035B9"/>
    <w:rsid w:val="00B0518B"/>
    <w:rsid w:val="00B05707"/>
    <w:rsid w:val="00B05993"/>
    <w:rsid w:val="00B060CD"/>
    <w:rsid w:val="00B0686C"/>
    <w:rsid w:val="00B06E97"/>
    <w:rsid w:val="00B11CDA"/>
    <w:rsid w:val="00B12911"/>
    <w:rsid w:val="00B134E7"/>
    <w:rsid w:val="00B14C15"/>
    <w:rsid w:val="00B14FC0"/>
    <w:rsid w:val="00B15F31"/>
    <w:rsid w:val="00B163F3"/>
    <w:rsid w:val="00B165E7"/>
    <w:rsid w:val="00B16741"/>
    <w:rsid w:val="00B16E86"/>
    <w:rsid w:val="00B17551"/>
    <w:rsid w:val="00B20364"/>
    <w:rsid w:val="00B20488"/>
    <w:rsid w:val="00B2130C"/>
    <w:rsid w:val="00B224BF"/>
    <w:rsid w:val="00B2300D"/>
    <w:rsid w:val="00B230F6"/>
    <w:rsid w:val="00B23139"/>
    <w:rsid w:val="00B23551"/>
    <w:rsid w:val="00B23DAF"/>
    <w:rsid w:val="00B24123"/>
    <w:rsid w:val="00B25335"/>
    <w:rsid w:val="00B26391"/>
    <w:rsid w:val="00B26A06"/>
    <w:rsid w:val="00B27F3D"/>
    <w:rsid w:val="00B30EA6"/>
    <w:rsid w:val="00B3108F"/>
    <w:rsid w:val="00B3114E"/>
    <w:rsid w:val="00B3148D"/>
    <w:rsid w:val="00B31843"/>
    <w:rsid w:val="00B31B5E"/>
    <w:rsid w:val="00B348A7"/>
    <w:rsid w:val="00B34DAE"/>
    <w:rsid w:val="00B36CA1"/>
    <w:rsid w:val="00B37117"/>
    <w:rsid w:val="00B377D8"/>
    <w:rsid w:val="00B37E2D"/>
    <w:rsid w:val="00B40514"/>
    <w:rsid w:val="00B40694"/>
    <w:rsid w:val="00B41534"/>
    <w:rsid w:val="00B4154B"/>
    <w:rsid w:val="00B41784"/>
    <w:rsid w:val="00B42E68"/>
    <w:rsid w:val="00B434C2"/>
    <w:rsid w:val="00B44102"/>
    <w:rsid w:val="00B4420E"/>
    <w:rsid w:val="00B44F9A"/>
    <w:rsid w:val="00B45669"/>
    <w:rsid w:val="00B463C0"/>
    <w:rsid w:val="00B46478"/>
    <w:rsid w:val="00B466F0"/>
    <w:rsid w:val="00B467BB"/>
    <w:rsid w:val="00B478A6"/>
    <w:rsid w:val="00B47E3B"/>
    <w:rsid w:val="00B511ED"/>
    <w:rsid w:val="00B51602"/>
    <w:rsid w:val="00B5167E"/>
    <w:rsid w:val="00B5216C"/>
    <w:rsid w:val="00B52540"/>
    <w:rsid w:val="00B53B95"/>
    <w:rsid w:val="00B53C34"/>
    <w:rsid w:val="00B55FD7"/>
    <w:rsid w:val="00B5657A"/>
    <w:rsid w:val="00B573D1"/>
    <w:rsid w:val="00B57961"/>
    <w:rsid w:val="00B6076F"/>
    <w:rsid w:val="00B61614"/>
    <w:rsid w:val="00B61B8F"/>
    <w:rsid w:val="00B6237C"/>
    <w:rsid w:val="00B62488"/>
    <w:rsid w:val="00B628A4"/>
    <w:rsid w:val="00B64774"/>
    <w:rsid w:val="00B64E06"/>
    <w:rsid w:val="00B65CB5"/>
    <w:rsid w:val="00B65D4A"/>
    <w:rsid w:val="00B66B65"/>
    <w:rsid w:val="00B679FF"/>
    <w:rsid w:val="00B7145B"/>
    <w:rsid w:val="00B715F3"/>
    <w:rsid w:val="00B71881"/>
    <w:rsid w:val="00B72969"/>
    <w:rsid w:val="00B72FA4"/>
    <w:rsid w:val="00B735EB"/>
    <w:rsid w:val="00B7374F"/>
    <w:rsid w:val="00B74500"/>
    <w:rsid w:val="00B74AFB"/>
    <w:rsid w:val="00B754EA"/>
    <w:rsid w:val="00B75B7C"/>
    <w:rsid w:val="00B761E8"/>
    <w:rsid w:val="00B768AD"/>
    <w:rsid w:val="00B76D77"/>
    <w:rsid w:val="00B7761D"/>
    <w:rsid w:val="00B77BCD"/>
    <w:rsid w:val="00B77E2A"/>
    <w:rsid w:val="00B81393"/>
    <w:rsid w:val="00B8337C"/>
    <w:rsid w:val="00B83638"/>
    <w:rsid w:val="00B839BC"/>
    <w:rsid w:val="00B83B44"/>
    <w:rsid w:val="00B84675"/>
    <w:rsid w:val="00B84B83"/>
    <w:rsid w:val="00B8517C"/>
    <w:rsid w:val="00B853F9"/>
    <w:rsid w:val="00B8608D"/>
    <w:rsid w:val="00B8727B"/>
    <w:rsid w:val="00B87E11"/>
    <w:rsid w:val="00B92342"/>
    <w:rsid w:val="00B93445"/>
    <w:rsid w:val="00B939A1"/>
    <w:rsid w:val="00B93B87"/>
    <w:rsid w:val="00B9465D"/>
    <w:rsid w:val="00B94881"/>
    <w:rsid w:val="00B95517"/>
    <w:rsid w:val="00B9579B"/>
    <w:rsid w:val="00B95C12"/>
    <w:rsid w:val="00B961F1"/>
    <w:rsid w:val="00B96885"/>
    <w:rsid w:val="00B96C4E"/>
    <w:rsid w:val="00B97B21"/>
    <w:rsid w:val="00B97C50"/>
    <w:rsid w:val="00BA0984"/>
    <w:rsid w:val="00BA3212"/>
    <w:rsid w:val="00BA3B4B"/>
    <w:rsid w:val="00BA40BE"/>
    <w:rsid w:val="00BA4D41"/>
    <w:rsid w:val="00BA67FC"/>
    <w:rsid w:val="00BA6B8E"/>
    <w:rsid w:val="00BA7285"/>
    <w:rsid w:val="00BA73E7"/>
    <w:rsid w:val="00BA7BE8"/>
    <w:rsid w:val="00BB0187"/>
    <w:rsid w:val="00BB08F7"/>
    <w:rsid w:val="00BB0CA1"/>
    <w:rsid w:val="00BB133D"/>
    <w:rsid w:val="00BB1924"/>
    <w:rsid w:val="00BB214B"/>
    <w:rsid w:val="00BB26EB"/>
    <w:rsid w:val="00BB2C15"/>
    <w:rsid w:val="00BB4049"/>
    <w:rsid w:val="00BB446B"/>
    <w:rsid w:val="00BB6A81"/>
    <w:rsid w:val="00BB7005"/>
    <w:rsid w:val="00BB78E6"/>
    <w:rsid w:val="00BB7AF7"/>
    <w:rsid w:val="00BC00C1"/>
    <w:rsid w:val="00BC056B"/>
    <w:rsid w:val="00BC0688"/>
    <w:rsid w:val="00BC0AA2"/>
    <w:rsid w:val="00BC1478"/>
    <w:rsid w:val="00BC19B5"/>
    <w:rsid w:val="00BC1BFE"/>
    <w:rsid w:val="00BC2264"/>
    <w:rsid w:val="00BC2C3A"/>
    <w:rsid w:val="00BC370A"/>
    <w:rsid w:val="00BC3E3B"/>
    <w:rsid w:val="00BC4300"/>
    <w:rsid w:val="00BC4874"/>
    <w:rsid w:val="00BC48E1"/>
    <w:rsid w:val="00BC56A2"/>
    <w:rsid w:val="00BC5705"/>
    <w:rsid w:val="00BC601C"/>
    <w:rsid w:val="00BC689A"/>
    <w:rsid w:val="00BC747B"/>
    <w:rsid w:val="00BC7956"/>
    <w:rsid w:val="00BC7E22"/>
    <w:rsid w:val="00BD02E6"/>
    <w:rsid w:val="00BD065D"/>
    <w:rsid w:val="00BD0DDA"/>
    <w:rsid w:val="00BD1469"/>
    <w:rsid w:val="00BD154F"/>
    <w:rsid w:val="00BD24B6"/>
    <w:rsid w:val="00BD3080"/>
    <w:rsid w:val="00BD3124"/>
    <w:rsid w:val="00BD316A"/>
    <w:rsid w:val="00BD39B6"/>
    <w:rsid w:val="00BD3A94"/>
    <w:rsid w:val="00BD488C"/>
    <w:rsid w:val="00BD4CF5"/>
    <w:rsid w:val="00BD5E56"/>
    <w:rsid w:val="00BD6499"/>
    <w:rsid w:val="00BD64B9"/>
    <w:rsid w:val="00BE0084"/>
    <w:rsid w:val="00BE09C7"/>
    <w:rsid w:val="00BE1BBB"/>
    <w:rsid w:val="00BE289D"/>
    <w:rsid w:val="00BE2ACB"/>
    <w:rsid w:val="00BE3013"/>
    <w:rsid w:val="00BE3CB6"/>
    <w:rsid w:val="00BE4035"/>
    <w:rsid w:val="00BE4A58"/>
    <w:rsid w:val="00BE4B70"/>
    <w:rsid w:val="00BE4BB0"/>
    <w:rsid w:val="00BE5120"/>
    <w:rsid w:val="00BE5756"/>
    <w:rsid w:val="00BE64BF"/>
    <w:rsid w:val="00BE6653"/>
    <w:rsid w:val="00BE7833"/>
    <w:rsid w:val="00BF02D4"/>
    <w:rsid w:val="00BF0724"/>
    <w:rsid w:val="00BF1896"/>
    <w:rsid w:val="00BF20CD"/>
    <w:rsid w:val="00BF324E"/>
    <w:rsid w:val="00BF329F"/>
    <w:rsid w:val="00BF4674"/>
    <w:rsid w:val="00BF47B7"/>
    <w:rsid w:val="00BF5020"/>
    <w:rsid w:val="00BF55BA"/>
    <w:rsid w:val="00BF58F2"/>
    <w:rsid w:val="00BF590D"/>
    <w:rsid w:val="00C0234C"/>
    <w:rsid w:val="00C024DF"/>
    <w:rsid w:val="00C028F9"/>
    <w:rsid w:val="00C0308D"/>
    <w:rsid w:val="00C035A7"/>
    <w:rsid w:val="00C0387C"/>
    <w:rsid w:val="00C049A5"/>
    <w:rsid w:val="00C04A2A"/>
    <w:rsid w:val="00C04FA3"/>
    <w:rsid w:val="00C051F1"/>
    <w:rsid w:val="00C05754"/>
    <w:rsid w:val="00C0586E"/>
    <w:rsid w:val="00C06091"/>
    <w:rsid w:val="00C06595"/>
    <w:rsid w:val="00C077A9"/>
    <w:rsid w:val="00C10187"/>
    <w:rsid w:val="00C11612"/>
    <w:rsid w:val="00C11B8C"/>
    <w:rsid w:val="00C12101"/>
    <w:rsid w:val="00C12304"/>
    <w:rsid w:val="00C1230F"/>
    <w:rsid w:val="00C1257A"/>
    <w:rsid w:val="00C1266E"/>
    <w:rsid w:val="00C12EC3"/>
    <w:rsid w:val="00C13495"/>
    <w:rsid w:val="00C13810"/>
    <w:rsid w:val="00C13934"/>
    <w:rsid w:val="00C13B21"/>
    <w:rsid w:val="00C14234"/>
    <w:rsid w:val="00C14C9F"/>
    <w:rsid w:val="00C14FC8"/>
    <w:rsid w:val="00C155CC"/>
    <w:rsid w:val="00C15878"/>
    <w:rsid w:val="00C15941"/>
    <w:rsid w:val="00C160D1"/>
    <w:rsid w:val="00C168BD"/>
    <w:rsid w:val="00C16E20"/>
    <w:rsid w:val="00C170CD"/>
    <w:rsid w:val="00C17555"/>
    <w:rsid w:val="00C17B94"/>
    <w:rsid w:val="00C2047B"/>
    <w:rsid w:val="00C20F04"/>
    <w:rsid w:val="00C21063"/>
    <w:rsid w:val="00C21801"/>
    <w:rsid w:val="00C21D64"/>
    <w:rsid w:val="00C223AC"/>
    <w:rsid w:val="00C24016"/>
    <w:rsid w:val="00C2407B"/>
    <w:rsid w:val="00C2541E"/>
    <w:rsid w:val="00C25DB5"/>
    <w:rsid w:val="00C2649C"/>
    <w:rsid w:val="00C26623"/>
    <w:rsid w:val="00C26685"/>
    <w:rsid w:val="00C26C59"/>
    <w:rsid w:val="00C30F87"/>
    <w:rsid w:val="00C31F4D"/>
    <w:rsid w:val="00C34487"/>
    <w:rsid w:val="00C348FF"/>
    <w:rsid w:val="00C34CBD"/>
    <w:rsid w:val="00C34E47"/>
    <w:rsid w:val="00C35B79"/>
    <w:rsid w:val="00C3638C"/>
    <w:rsid w:val="00C36C7C"/>
    <w:rsid w:val="00C370E1"/>
    <w:rsid w:val="00C3796D"/>
    <w:rsid w:val="00C4057F"/>
    <w:rsid w:val="00C40753"/>
    <w:rsid w:val="00C40815"/>
    <w:rsid w:val="00C40B89"/>
    <w:rsid w:val="00C40B90"/>
    <w:rsid w:val="00C413EA"/>
    <w:rsid w:val="00C41BEB"/>
    <w:rsid w:val="00C4248B"/>
    <w:rsid w:val="00C42E64"/>
    <w:rsid w:val="00C43C61"/>
    <w:rsid w:val="00C4475B"/>
    <w:rsid w:val="00C45C64"/>
    <w:rsid w:val="00C46B87"/>
    <w:rsid w:val="00C50040"/>
    <w:rsid w:val="00C50513"/>
    <w:rsid w:val="00C50775"/>
    <w:rsid w:val="00C507A3"/>
    <w:rsid w:val="00C51269"/>
    <w:rsid w:val="00C514D1"/>
    <w:rsid w:val="00C5183A"/>
    <w:rsid w:val="00C521AE"/>
    <w:rsid w:val="00C53901"/>
    <w:rsid w:val="00C53F5B"/>
    <w:rsid w:val="00C54A87"/>
    <w:rsid w:val="00C556DE"/>
    <w:rsid w:val="00C560EC"/>
    <w:rsid w:val="00C569D0"/>
    <w:rsid w:val="00C57615"/>
    <w:rsid w:val="00C57991"/>
    <w:rsid w:val="00C57B3A"/>
    <w:rsid w:val="00C6023F"/>
    <w:rsid w:val="00C60B64"/>
    <w:rsid w:val="00C615B8"/>
    <w:rsid w:val="00C61A12"/>
    <w:rsid w:val="00C62D67"/>
    <w:rsid w:val="00C635D1"/>
    <w:rsid w:val="00C6406B"/>
    <w:rsid w:val="00C652E2"/>
    <w:rsid w:val="00C667D0"/>
    <w:rsid w:val="00C66AD7"/>
    <w:rsid w:val="00C66E3C"/>
    <w:rsid w:val="00C67408"/>
    <w:rsid w:val="00C6770C"/>
    <w:rsid w:val="00C70E36"/>
    <w:rsid w:val="00C716BA"/>
    <w:rsid w:val="00C71759"/>
    <w:rsid w:val="00C71A08"/>
    <w:rsid w:val="00C72168"/>
    <w:rsid w:val="00C72354"/>
    <w:rsid w:val="00C723B1"/>
    <w:rsid w:val="00C72625"/>
    <w:rsid w:val="00C7271D"/>
    <w:rsid w:val="00C72FFA"/>
    <w:rsid w:val="00C73DB4"/>
    <w:rsid w:val="00C74A02"/>
    <w:rsid w:val="00C74CF6"/>
    <w:rsid w:val="00C75A45"/>
    <w:rsid w:val="00C75BCA"/>
    <w:rsid w:val="00C75C66"/>
    <w:rsid w:val="00C75F49"/>
    <w:rsid w:val="00C7719F"/>
    <w:rsid w:val="00C80BBB"/>
    <w:rsid w:val="00C81A2C"/>
    <w:rsid w:val="00C82F2D"/>
    <w:rsid w:val="00C84318"/>
    <w:rsid w:val="00C85F99"/>
    <w:rsid w:val="00C861C8"/>
    <w:rsid w:val="00C87A9E"/>
    <w:rsid w:val="00C87F89"/>
    <w:rsid w:val="00C90E80"/>
    <w:rsid w:val="00C91633"/>
    <w:rsid w:val="00C91903"/>
    <w:rsid w:val="00C91936"/>
    <w:rsid w:val="00C92036"/>
    <w:rsid w:val="00C9245D"/>
    <w:rsid w:val="00C92AFD"/>
    <w:rsid w:val="00C943D6"/>
    <w:rsid w:val="00C94F15"/>
    <w:rsid w:val="00C9509E"/>
    <w:rsid w:val="00C954BD"/>
    <w:rsid w:val="00C95615"/>
    <w:rsid w:val="00C97871"/>
    <w:rsid w:val="00C97CC0"/>
    <w:rsid w:val="00C97D75"/>
    <w:rsid w:val="00CA0261"/>
    <w:rsid w:val="00CA04BA"/>
    <w:rsid w:val="00CA136D"/>
    <w:rsid w:val="00CA147B"/>
    <w:rsid w:val="00CA2400"/>
    <w:rsid w:val="00CA24A1"/>
    <w:rsid w:val="00CA2D7A"/>
    <w:rsid w:val="00CA47F5"/>
    <w:rsid w:val="00CA4B13"/>
    <w:rsid w:val="00CA5368"/>
    <w:rsid w:val="00CA6310"/>
    <w:rsid w:val="00CB0113"/>
    <w:rsid w:val="00CB017D"/>
    <w:rsid w:val="00CB058C"/>
    <w:rsid w:val="00CB14A4"/>
    <w:rsid w:val="00CB26D8"/>
    <w:rsid w:val="00CB30D0"/>
    <w:rsid w:val="00CB33CE"/>
    <w:rsid w:val="00CB3C01"/>
    <w:rsid w:val="00CB3EBC"/>
    <w:rsid w:val="00CB4795"/>
    <w:rsid w:val="00CB4EC9"/>
    <w:rsid w:val="00CB570A"/>
    <w:rsid w:val="00CB679C"/>
    <w:rsid w:val="00CB6A84"/>
    <w:rsid w:val="00CB6A85"/>
    <w:rsid w:val="00CB6C7B"/>
    <w:rsid w:val="00CB7121"/>
    <w:rsid w:val="00CB7364"/>
    <w:rsid w:val="00CB7C4A"/>
    <w:rsid w:val="00CB7ECC"/>
    <w:rsid w:val="00CB7F84"/>
    <w:rsid w:val="00CB7F94"/>
    <w:rsid w:val="00CC062E"/>
    <w:rsid w:val="00CC0B1E"/>
    <w:rsid w:val="00CC1475"/>
    <w:rsid w:val="00CC295C"/>
    <w:rsid w:val="00CC319E"/>
    <w:rsid w:val="00CC340A"/>
    <w:rsid w:val="00CC3435"/>
    <w:rsid w:val="00CC3C72"/>
    <w:rsid w:val="00CC4E3A"/>
    <w:rsid w:val="00CC5AA0"/>
    <w:rsid w:val="00CC75B6"/>
    <w:rsid w:val="00CC779B"/>
    <w:rsid w:val="00CD17D6"/>
    <w:rsid w:val="00CD1F06"/>
    <w:rsid w:val="00CD278E"/>
    <w:rsid w:val="00CD2DD0"/>
    <w:rsid w:val="00CD2E23"/>
    <w:rsid w:val="00CD3776"/>
    <w:rsid w:val="00CD4D65"/>
    <w:rsid w:val="00CD6419"/>
    <w:rsid w:val="00CD648D"/>
    <w:rsid w:val="00CD64E1"/>
    <w:rsid w:val="00CD7616"/>
    <w:rsid w:val="00CD775A"/>
    <w:rsid w:val="00CD78C1"/>
    <w:rsid w:val="00CE01B5"/>
    <w:rsid w:val="00CE021F"/>
    <w:rsid w:val="00CE0A3D"/>
    <w:rsid w:val="00CE0B98"/>
    <w:rsid w:val="00CE1A44"/>
    <w:rsid w:val="00CE2312"/>
    <w:rsid w:val="00CE287E"/>
    <w:rsid w:val="00CE2E92"/>
    <w:rsid w:val="00CE384F"/>
    <w:rsid w:val="00CE3CDF"/>
    <w:rsid w:val="00CE3E07"/>
    <w:rsid w:val="00CE4B29"/>
    <w:rsid w:val="00CE57CF"/>
    <w:rsid w:val="00CF14A0"/>
    <w:rsid w:val="00CF194E"/>
    <w:rsid w:val="00CF19DF"/>
    <w:rsid w:val="00CF1F8D"/>
    <w:rsid w:val="00CF2172"/>
    <w:rsid w:val="00CF2BBB"/>
    <w:rsid w:val="00CF3127"/>
    <w:rsid w:val="00CF4F47"/>
    <w:rsid w:val="00CF5030"/>
    <w:rsid w:val="00D01AD1"/>
    <w:rsid w:val="00D01CEC"/>
    <w:rsid w:val="00D02277"/>
    <w:rsid w:val="00D02BB4"/>
    <w:rsid w:val="00D033C8"/>
    <w:rsid w:val="00D03B43"/>
    <w:rsid w:val="00D03C14"/>
    <w:rsid w:val="00D04952"/>
    <w:rsid w:val="00D04B2D"/>
    <w:rsid w:val="00D058FD"/>
    <w:rsid w:val="00D07169"/>
    <w:rsid w:val="00D071B2"/>
    <w:rsid w:val="00D11EC0"/>
    <w:rsid w:val="00D13294"/>
    <w:rsid w:val="00D13562"/>
    <w:rsid w:val="00D13CB3"/>
    <w:rsid w:val="00D14D12"/>
    <w:rsid w:val="00D16FBA"/>
    <w:rsid w:val="00D20137"/>
    <w:rsid w:val="00D208E6"/>
    <w:rsid w:val="00D21492"/>
    <w:rsid w:val="00D21A55"/>
    <w:rsid w:val="00D23AD0"/>
    <w:rsid w:val="00D23B0A"/>
    <w:rsid w:val="00D24239"/>
    <w:rsid w:val="00D24C26"/>
    <w:rsid w:val="00D255C6"/>
    <w:rsid w:val="00D258DF"/>
    <w:rsid w:val="00D2648C"/>
    <w:rsid w:val="00D27A7E"/>
    <w:rsid w:val="00D30796"/>
    <w:rsid w:val="00D309DD"/>
    <w:rsid w:val="00D31163"/>
    <w:rsid w:val="00D31523"/>
    <w:rsid w:val="00D31D60"/>
    <w:rsid w:val="00D331EC"/>
    <w:rsid w:val="00D3330C"/>
    <w:rsid w:val="00D3349D"/>
    <w:rsid w:val="00D33682"/>
    <w:rsid w:val="00D34598"/>
    <w:rsid w:val="00D3511A"/>
    <w:rsid w:val="00D35F28"/>
    <w:rsid w:val="00D368FF"/>
    <w:rsid w:val="00D37596"/>
    <w:rsid w:val="00D40238"/>
    <w:rsid w:val="00D4325C"/>
    <w:rsid w:val="00D43430"/>
    <w:rsid w:val="00D439C3"/>
    <w:rsid w:val="00D449C6"/>
    <w:rsid w:val="00D44A3B"/>
    <w:rsid w:val="00D451A0"/>
    <w:rsid w:val="00D45C34"/>
    <w:rsid w:val="00D45D16"/>
    <w:rsid w:val="00D4777F"/>
    <w:rsid w:val="00D478D3"/>
    <w:rsid w:val="00D5028D"/>
    <w:rsid w:val="00D5054E"/>
    <w:rsid w:val="00D50B46"/>
    <w:rsid w:val="00D5131D"/>
    <w:rsid w:val="00D52AA5"/>
    <w:rsid w:val="00D535F7"/>
    <w:rsid w:val="00D53E84"/>
    <w:rsid w:val="00D54A0E"/>
    <w:rsid w:val="00D54AF4"/>
    <w:rsid w:val="00D54F82"/>
    <w:rsid w:val="00D5571B"/>
    <w:rsid w:val="00D55828"/>
    <w:rsid w:val="00D55C1D"/>
    <w:rsid w:val="00D55C29"/>
    <w:rsid w:val="00D55CC0"/>
    <w:rsid w:val="00D566F1"/>
    <w:rsid w:val="00D56F33"/>
    <w:rsid w:val="00D57388"/>
    <w:rsid w:val="00D577E0"/>
    <w:rsid w:val="00D57865"/>
    <w:rsid w:val="00D60411"/>
    <w:rsid w:val="00D61863"/>
    <w:rsid w:val="00D61A0D"/>
    <w:rsid w:val="00D63759"/>
    <w:rsid w:val="00D63F45"/>
    <w:rsid w:val="00D6428A"/>
    <w:rsid w:val="00D64E9D"/>
    <w:rsid w:val="00D6532F"/>
    <w:rsid w:val="00D65A11"/>
    <w:rsid w:val="00D65B91"/>
    <w:rsid w:val="00D66CD5"/>
    <w:rsid w:val="00D67145"/>
    <w:rsid w:val="00D6724B"/>
    <w:rsid w:val="00D67372"/>
    <w:rsid w:val="00D67C4D"/>
    <w:rsid w:val="00D70A7A"/>
    <w:rsid w:val="00D71248"/>
    <w:rsid w:val="00D7160F"/>
    <w:rsid w:val="00D7196A"/>
    <w:rsid w:val="00D72C26"/>
    <w:rsid w:val="00D73288"/>
    <w:rsid w:val="00D7371E"/>
    <w:rsid w:val="00D74179"/>
    <w:rsid w:val="00D741DB"/>
    <w:rsid w:val="00D74E88"/>
    <w:rsid w:val="00D75216"/>
    <w:rsid w:val="00D75D33"/>
    <w:rsid w:val="00D75E56"/>
    <w:rsid w:val="00D763AE"/>
    <w:rsid w:val="00D768D0"/>
    <w:rsid w:val="00D778A3"/>
    <w:rsid w:val="00D77919"/>
    <w:rsid w:val="00D8158C"/>
    <w:rsid w:val="00D818BF"/>
    <w:rsid w:val="00D8359E"/>
    <w:rsid w:val="00D857FE"/>
    <w:rsid w:val="00D85DCC"/>
    <w:rsid w:val="00D860FC"/>
    <w:rsid w:val="00D87258"/>
    <w:rsid w:val="00D87458"/>
    <w:rsid w:val="00D87F64"/>
    <w:rsid w:val="00D907F2"/>
    <w:rsid w:val="00D9120E"/>
    <w:rsid w:val="00D927CC"/>
    <w:rsid w:val="00D92947"/>
    <w:rsid w:val="00D92BBF"/>
    <w:rsid w:val="00D92F9E"/>
    <w:rsid w:val="00D933F6"/>
    <w:rsid w:val="00D94010"/>
    <w:rsid w:val="00D943E4"/>
    <w:rsid w:val="00D94417"/>
    <w:rsid w:val="00D948C4"/>
    <w:rsid w:val="00D94E85"/>
    <w:rsid w:val="00D955E0"/>
    <w:rsid w:val="00D96531"/>
    <w:rsid w:val="00DA00A6"/>
    <w:rsid w:val="00DA1FF7"/>
    <w:rsid w:val="00DA26B3"/>
    <w:rsid w:val="00DA2FCF"/>
    <w:rsid w:val="00DA30F8"/>
    <w:rsid w:val="00DA465F"/>
    <w:rsid w:val="00DA5095"/>
    <w:rsid w:val="00DA518C"/>
    <w:rsid w:val="00DA5B16"/>
    <w:rsid w:val="00DA77DE"/>
    <w:rsid w:val="00DB1B4D"/>
    <w:rsid w:val="00DB2AEF"/>
    <w:rsid w:val="00DB2B51"/>
    <w:rsid w:val="00DB2BF3"/>
    <w:rsid w:val="00DB3E16"/>
    <w:rsid w:val="00DB47A5"/>
    <w:rsid w:val="00DB4E45"/>
    <w:rsid w:val="00DB58A9"/>
    <w:rsid w:val="00DB5F5B"/>
    <w:rsid w:val="00DB5FF6"/>
    <w:rsid w:val="00DB72D7"/>
    <w:rsid w:val="00DB7CED"/>
    <w:rsid w:val="00DC09FC"/>
    <w:rsid w:val="00DC0C7B"/>
    <w:rsid w:val="00DC385E"/>
    <w:rsid w:val="00DC3A87"/>
    <w:rsid w:val="00DC4145"/>
    <w:rsid w:val="00DC55BE"/>
    <w:rsid w:val="00DC5690"/>
    <w:rsid w:val="00DC593A"/>
    <w:rsid w:val="00DD0923"/>
    <w:rsid w:val="00DD0B51"/>
    <w:rsid w:val="00DD0BE6"/>
    <w:rsid w:val="00DD1707"/>
    <w:rsid w:val="00DD1C59"/>
    <w:rsid w:val="00DD20E1"/>
    <w:rsid w:val="00DD2B63"/>
    <w:rsid w:val="00DD3446"/>
    <w:rsid w:val="00DD3467"/>
    <w:rsid w:val="00DD45B5"/>
    <w:rsid w:val="00DD474F"/>
    <w:rsid w:val="00DD4A1A"/>
    <w:rsid w:val="00DD52FC"/>
    <w:rsid w:val="00DD5C3A"/>
    <w:rsid w:val="00DD674D"/>
    <w:rsid w:val="00DD701C"/>
    <w:rsid w:val="00DD7319"/>
    <w:rsid w:val="00DE063E"/>
    <w:rsid w:val="00DE0CC3"/>
    <w:rsid w:val="00DE1065"/>
    <w:rsid w:val="00DE11EE"/>
    <w:rsid w:val="00DE14FC"/>
    <w:rsid w:val="00DE3136"/>
    <w:rsid w:val="00DE39F4"/>
    <w:rsid w:val="00DE3A27"/>
    <w:rsid w:val="00DE3C4E"/>
    <w:rsid w:val="00DE4810"/>
    <w:rsid w:val="00DE587D"/>
    <w:rsid w:val="00DE6805"/>
    <w:rsid w:val="00DE76BD"/>
    <w:rsid w:val="00DE7807"/>
    <w:rsid w:val="00DF0D0A"/>
    <w:rsid w:val="00DF1FB9"/>
    <w:rsid w:val="00DF2469"/>
    <w:rsid w:val="00DF55A9"/>
    <w:rsid w:val="00DF58E5"/>
    <w:rsid w:val="00DF6E4E"/>
    <w:rsid w:val="00DF7689"/>
    <w:rsid w:val="00DF79E1"/>
    <w:rsid w:val="00E00012"/>
    <w:rsid w:val="00E000D0"/>
    <w:rsid w:val="00E00A55"/>
    <w:rsid w:val="00E00F2E"/>
    <w:rsid w:val="00E01413"/>
    <w:rsid w:val="00E01525"/>
    <w:rsid w:val="00E0186E"/>
    <w:rsid w:val="00E01D50"/>
    <w:rsid w:val="00E01FE1"/>
    <w:rsid w:val="00E024B2"/>
    <w:rsid w:val="00E0258D"/>
    <w:rsid w:val="00E03063"/>
    <w:rsid w:val="00E030F0"/>
    <w:rsid w:val="00E04E95"/>
    <w:rsid w:val="00E057EA"/>
    <w:rsid w:val="00E06710"/>
    <w:rsid w:val="00E07AA2"/>
    <w:rsid w:val="00E1015B"/>
    <w:rsid w:val="00E106AE"/>
    <w:rsid w:val="00E10723"/>
    <w:rsid w:val="00E11A5C"/>
    <w:rsid w:val="00E11DE7"/>
    <w:rsid w:val="00E11F44"/>
    <w:rsid w:val="00E1223A"/>
    <w:rsid w:val="00E122A9"/>
    <w:rsid w:val="00E12ABE"/>
    <w:rsid w:val="00E1415F"/>
    <w:rsid w:val="00E15425"/>
    <w:rsid w:val="00E15683"/>
    <w:rsid w:val="00E1603D"/>
    <w:rsid w:val="00E16242"/>
    <w:rsid w:val="00E1784D"/>
    <w:rsid w:val="00E17B1A"/>
    <w:rsid w:val="00E20E02"/>
    <w:rsid w:val="00E20EBE"/>
    <w:rsid w:val="00E2114E"/>
    <w:rsid w:val="00E21AF7"/>
    <w:rsid w:val="00E2282E"/>
    <w:rsid w:val="00E229C1"/>
    <w:rsid w:val="00E22C09"/>
    <w:rsid w:val="00E239E9"/>
    <w:rsid w:val="00E25D86"/>
    <w:rsid w:val="00E25F85"/>
    <w:rsid w:val="00E261D0"/>
    <w:rsid w:val="00E26A36"/>
    <w:rsid w:val="00E27249"/>
    <w:rsid w:val="00E27B44"/>
    <w:rsid w:val="00E30003"/>
    <w:rsid w:val="00E30F41"/>
    <w:rsid w:val="00E313CE"/>
    <w:rsid w:val="00E31F09"/>
    <w:rsid w:val="00E320DB"/>
    <w:rsid w:val="00E32733"/>
    <w:rsid w:val="00E331D5"/>
    <w:rsid w:val="00E33AB2"/>
    <w:rsid w:val="00E33E69"/>
    <w:rsid w:val="00E3497F"/>
    <w:rsid w:val="00E34E6A"/>
    <w:rsid w:val="00E35448"/>
    <w:rsid w:val="00E35F0A"/>
    <w:rsid w:val="00E3663E"/>
    <w:rsid w:val="00E36D49"/>
    <w:rsid w:val="00E36E14"/>
    <w:rsid w:val="00E37AA8"/>
    <w:rsid w:val="00E408E9"/>
    <w:rsid w:val="00E41390"/>
    <w:rsid w:val="00E418F1"/>
    <w:rsid w:val="00E420E4"/>
    <w:rsid w:val="00E4238A"/>
    <w:rsid w:val="00E440A1"/>
    <w:rsid w:val="00E4452C"/>
    <w:rsid w:val="00E447F8"/>
    <w:rsid w:val="00E44935"/>
    <w:rsid w:val="00E4579A"/>
    <w:rsid w:val="00E46E0B"/>
    <w:rsid w:val="00E478DA"/>
    <w:rsid w:val="00E501F1"/>
    <w:rsid w:val="00E5076A"/>
    <w:rsid w:val="00E50E1F"/>
    <w:rsid w:val="00E528AD"/>
    <w:rsid w:val="00E52A22"/>
    <w:rsid w:val="00E5356C"/>
    <w:rsid w:val="00E53914"/>
    <w:rsid w:val="00E53DFD"/>
    <w:rsid w:val="00E54E3A"/>
    <w:rsid w:val="00E5655F"/>
    <w:rsid w:val="00E5696B"/>
    <w:rsid w:val="00E60146"/>
    <w:rsid w:val="00E60221"/>
    <w:rsid w:val="00E6098E"/>
    <w:rsid w:val="00E60A5A"/>
    <w:rsid w:val="00E61468"/>
    <w:rsid w:val="00E61780"/>
    <w:rsid w:val="00E62142"/>
    <w:rsid w:val="00E62648"/>
    <w:rsid w:val="00E637A7"/>
    <w:rsid w:val="00E661DB"/>
    <w:rsid w:val="00E66C88"/>
    <w:rsid w:val="00E71086"/>
    <w:rsid w:val="00E7391F"/>
    <w:rsid w:val="00E73A3A"/>
    <w:rsid w:val="00E73D5F"/>
    <w:rsid w:val="00E745BB"/>
    <w:rsid w:val="00E746BE"/>
    <w:rsid w:val="00E77E32"/>
    <w:rsid w:val="00E8173D"/>
    <w:rsid w:val="00E8280A"/>
    <w:rsid w:val="00E834BF"/>
    <w:rsid w:val="00E83987"/>
    <w:rsid w:val="00E839FC"/>
    <w:rsid w:val="00E83D04"/>
    <w:rsid w:val="00E85BCA"/>
    <w:rsid w:val="00E85EB1"/>
    <w:rsid w:val="00E87280"/>
    <w:rsid w:val="00E874EC"/>
    <w:rsid w:val="00E87BD5"/>
    <w:rsid w:val="00E87C5D"/>
    <w:rsid w:val="00E87E16"/>
    <w:rsid w:val="00E90801"/>
    <w:rsid w:val="00E90B12"/>
    <w:rsid w:val="00E93B8E"/>
    <w:rsid w:val="00E93F1C"/>
    <w:rsid w:val="00E9563D"/>
    <w:rsid w:val="00E95DDA"/>
    <w:rsid w:val="00E9609B"/>
    <w:rsid w:val="00E96DEE"/>
    <w:rsid w:val="00E972A2"/>
    <w:rsid w:val="00E97990"/>
    <w:rsid w:val="00E97E36"/>
    <w:rsid w:val="00EA03AA"/>
    <w:rsid w:val="00EA108A"/>
    <w:rsid w:val="00EA12EA"/>
    <w:rsid w:val="00EA141E"/>
    <w:rsid w:val="00EA1B41"/>
    <w:rsid w:val="00EA1DF6"/>
    <w:rsid w:val="00EA2B29"/>
    <w:rsid w:val="00EA2C90"/>
    <w:rsid w:val="00EA3235"/>
    <w:rsid w:val="00EA35FC"/>
    <w:rsid w:val="00EA38A2"/>
    <w:rsid w:val="00EA3942"/>
    <w:rsid w:val="00EA3AF8"/>
    <w:rsid w:val="00EA411B"/>
    <w:rsid w:val="00EA5DE5"/>
    <w:rsid w:val="00EA71D3"/>
    <w:rsid w:val="00EB1A14"/>
    <w:rsid w:val="00EB2610"/>
    <w:rsid w:val="00EB2D92"/>
    <w:rsid w:val="00EB341F"/>
    <w:rsid w:val="00EB5C2A"/>
    <w:rsid w:val="00EB686E"/>
    <w:rsid w:val="00EB6D6E"/>
    <w:rsid w:val="00EC27C8"/>
    <w:rsid w:val="00EC2BE5"/>
    <w:rsid w:val="00EC2CC6"/>
    <w:rsid w:val="00EC2CCA"/>
    <w:rsid w:val="00EC2CFB"/>
    <w:rsid w:val="00EC2D31"/>
    <w:rsid w:val="00EC2E71"/>
    <w:rsid w:val="00EC2EE1"/>
    <w:rsid w:val="00EC2FD5"/>
    <w:rsid w:val="00EC4312"/>
    <w:rsid w:val="00EC4D53"/>
    <w:rsid w:val="00EC5347"/>
    <w:rsid w:val="00EC538F"/>
    <w:rsid w:val="00EC57DB"/>
    <w:rsid w:val="00EC57E7"/>
    <w:rsid w:val="00EC5E5F"/>
    <w:rsid w:val="00EC77D1"/>
    <w:rsid w:val="00EC7835"/>
    <w:rsid w:val="00ED05EB"/>
    <w:rsid w:val="00ED0932"/>
    <w:rsid w:val="00ED0D53"/>
    <w:rsid w:val="00ED0ED2"/>
    <w:rsid w:val="00ED3605"/>
    <w:rsid w:val="00ED3CE8"/>
    <w:rsid w:val="00ED47E4"/>
    <w:rsid w:val="00ED58AD"/>
    <w:rsid w:val="00ED5E13"/>
    <w:rsid w:val="00ED5E90"/>
    <w:rsid w:val="00ED5F4F"/>
    <w:rsid w:val="00ED5FF8"/>
    <w:rsid w:val="00ED71AE"/>
    <w:rsid w:val="00ED73A4"/>
    <w:rsid w:val="00ED777C"/>
    <w:rsid w:val="00ED7A99"/>
    <w:rsid w:val="00EE21A6"/>
    <w:rsid w:val="00EE22A7"/>
    <w:rsid w:val="00EE2ADA"/>
    <w:rsid w:val="00EE3627"/>
    <w:rsid w:val="00EE3B72"/>
    <w:rsid w:val="00EE4D2B"/>
    <w:rsid w:val="00EE5D97"/>
    <w:rsid w:val="00EE6288"/>
    <w:rsid w:val="00EE66D4"/>
    <w:rsid w:val="00EE6F5D"/>
    <w:rsid w:val="00EE6F95"/>
    <w:rsid w:val="00EE7AD7"/>
    <w:rsid w:val="00EF01CC"/>
    <w:rsid w:val="00EF0280"/>
    <w:rsid w:val="00EF12CC"/>
    <w:rsid w:val="00EF2355"/>
    <w:rsid w:val="00EF274C"/>
    <w:rsid w:val="00EF3011"/>
    <w:rsid w:val="00EF3BE1"/>
    <w:rsid w:val="00EF4351"/>
    <w:rsid w:val="00EF4927"/>
    <w:rsid w:val="00EF5363"/>
    <w:rsid w:val="00EF56D8"/>
    <w:rsid w:val="00EF59F2"/>
    <w:rsid w:val="00EF7B3E"/>
    <w:rsid w:val="00F0069B"/>
    <w:rsid w:val="00F01D44"/>
    <w:rsid w:val="00F020DB"/>
    <w:rsid w:val="00F023A4"/>
    <w:rsid w:val="00F02B95"/>
    <w:rsid w:val="00F02BF0"/>
    <w:rsid w:val="00F03C49"/>
    <w:rsid w:val="00F0432C"/>
    <w:rsid w:val="00F04516"/>
    <w:rsid w:val="00F050A8"/>
    <w:rsid w:val="00F0539E"/>
    <w:rsid w:val="00F06045"/>
    <w:rsid w:val="00F06A5E"/>
    <w:rsid w:val="00F07A6D"/>
    <w:rsid w:val="00F104ED"/>
    <w:rsid w:val="00F1097C"/>
    <w:rsid w:val="00F121F0"/>
    <w:rsid w:val="00F12F63"/>
    <w:rsid w:val="00F133B8"/>
    <w:rsid w:val="00F137FE"/>
    <w:rsid w:val="00F13971"/>
    <w:rsid w:val="00F1481D"/>
    <w:rsid w:val="00F14970"/>
    <w:rsid w:val="00F14FC4"/>
    <w:rsid w:val="00F1511E"/>
    <w:rsid w:val="00F15A5D"/>
    <w:rsid w:val="00F15FED"/>
    <w:rsid w:val="00F16108"/>
    <w:rsid w:val="00F16D91"/>
    <w:rsid w:val="00F1757A"/>
    <w:rsid w:val="00F17FA9"/>
    <w:rsid w:val="00F201FD"/>
    <w:rsid w:val="00F2227C"/>
    <w:rsid w:val="00F22C09"/>
    <w:rsid w:val="00F23548"/>
    <w:rsid w:val="00F23561"/>
    <w:rsid w:val="00F2359A"/>
    <w:rsid w:val="00F2404C"/>
    <w:rsid w:val="00F2429E"/>
    <w:rsid w:val="00F25545"/>
    <w:rsid w:val="00F258F5"/>
    <w:rsid w:val="00F25BE1"/>
    <w:rsid w:val="00F25FBE"/>
    <w:rsid w:val="00F265B9"/>
    <w:rsid w:val="00F266AA"/>
    <w:rsid w:val="00F26A2B"/>
    <w:rsid w:val="00F27FFD"/>
    <w:rsid w:val="00F3079C"/>
    <w:rsid w:val="00F3189A"/>
    <w:rsid w:val="00F31928"/>
    <w:rsid w:val="00F31CE9"/>
    <w:rsid w:val="00F31E95"/>
    <w:rsid w:val="00F3223F"/>
    <w:rsid w:val="00F324F2"/>
    <w:rsid w:val="00F337E4"/>
    <w:rsid w:val="00F33B9C"/>
    <w:rsid w:val="00F340F6"/>
    <w:rsid w:val="00F3424C"/>
    <w:rsid w:val="00F34464"/>
    <w:rsid w:val="00F363FF"/>
    <w:rsid w:val="00F36D9A"/>
    <w:rsid w:val="00F37037"/>
    <w:rsid w:val="00F3771F"/>
    <w:rsid w:val="00F37BB9"/>
    <w:rsid w:val="00F40516"/>
    <w:rsid w:val="00F40B80"/>
    <w:rsid w:val="00F41B49"/>
    <w:rsid w:val="00F426E2"/>
    <w:rsid w:val="00F42726"/>
    <w:rsid w:val="00F42BD9"/>
    <w:rsid w:val="00F42C78"/>
    <w:rsid w:val="00F43C32"/>
    <w:rsid w:val="00F453B6"/>
    <w:rsid w:val="00F45854"/>
    <w:rsid w:val="00F468F2"/>
    <w:rsid w:val="00F46D54"/>
    <w:rsid w:val="00F47291"/>
    <w:rsid w:val="00F50DC4"/>
    <w:rsid w:val="00F524C0"/>
    <w:rsid w:val="00F527F7"/>
    <w:rsid w:val="00F529A8"/>
    <w:rsid w:val="00F52A72"/>
    <w:rsid w:val="00F53548"/>
    <w:rsid w:val="00F5470C"/>
    <w:rsid w:val="00F5528F"/>
    <w:rsid w:val="00F569C2"/>
    <w:rsid w:val="00F57C62"/>
    <w:rsid w:val="00F6000C"/>
    <w:rsid w:val="00F61269"/>
    <w:rsid w:val="00F62DFC"/>
    <w:rsid w:val="00F6362F"/>
    <w:rsid w:val="00F6381A"/>
    <w:rsid w:val="00F658BB"/>
    <w:rsid w:val="00F6598F"/>
    <w:rsid w:val="00F66292"/>
    <w:rsid w:val="00F6694F"/>
    <w:rsid w:val="00F67026"/>
    <w:rsid w:val="00F673DD"/>
    <w:rsid w:val="00F67510"/>
    <w:rsid w:val="00F702ED"/>
    <w:rsid w:val="00F717ED"/>
    <w:rsid w:val="00F72ED6"/>
    <w:rsid w:val="00F72EDE"/>
    <w:rsid w:val="00F7494B"/>
    <w:rsid w:val="00F74B41"/>
    <w:rsid w:val="00F75BD6"/>
    <w:rsid w:val="00F76995"/>
    <w:rsid w:val="00F76B38"/>
    <w:rsid w:val="00F76DA5"/>
    <w:rsid w:val="00F76F1C"/>
    <w:rsid w:val="00F770EF"/>
    <w:rsid w:val="00F775E1"/>
    <w:rsid w:val="00F7791F"/>
    <w:rsid w:val="00F77BDA"/>
    <w:rsid w:val="00F77EC2"/>
    <w:rsid w:val="00F808A8"/>
    <w:rsid w:val="00F80AD4"/>
    <w:rsid w:val="00F80AD6"/>
    <w:rsid w:val="00F8132F"/>
    <w:rsid w:val="00F81687"/>
    <w:rsid w:val="00F82060"/>
    <w:rsid w:val="00F8309E"/>
    <w:rsid w:val="00F8411A"/>
    <w:rsid w:val="00F84289"/>
    <w:rsid w:val="00F86A6A"/>
    <w:rsid w:val="00F86F6D"/>
    <w:rsid w:val="00F8722D"/>
    <w:rsid w:val="00F87F31"/>
    <w:rsid w:val="00F902E6"/>
    <w:rsid w:val="00F90C98"/>
    <w:rsid w:val="00F91099"/>
    <w:rsid w:val="00F9110C"/>
    <w:rsid w:val="00F9196A"/>
    <w:rsid w:val="00F92ACA"/>
    <w:rsid w:val="00F92B73"/>
    <w:rsid w:val="00F92EAB"/>
    <w:rsid w:val="00F930D9"/>
    <w:rsid w:val="00F93EEE"/>
    <w:rsid w:val="00F954CA"/>
    <w:rsid w:val="00F962A4"/>
    <w:rsid w:val="00F963B7"/>
    <w:rsid w:val="00F97BB7"/>
    <w:rsid w:val="00FA26D2"/>
    <w:rsid w:val="00FA2B66"/>
    <w:rsid w:val="00FA2BD7"/>
    <w:rsid w:val="00FA3D7F"/>
    <w:rsid w:val="00FA6AD7"/>
    <w:rsid w:val="00FA6F37"/>
    <w:rsid w:val="00FB004C"/>
    <w:rsid w:val="00FB031C"/>
    <w:rsid w:val="00FB119A"/>
    <w:rsid w:val="00FB1431"/>
    <w:rsid w:val="00FB181F"/>
    <w:rsid w:val="00FB1918"/>
    <w:rsid w:val="00FB1AE8"/>
    <w:rsid w:val="00FB24C0"/>
    <w:rsid w:val="00FB286E"/>
    <w:rsid w:val="00FB4E1F"/>
    <w:rsid w:val="00FB526E"/>
    <w:rsid w:val="00FB5407"/>
    <w:rsid w:val="00FB6025"/>
    <w:rsid w:val="00FC0EFA"/>
    <w:rsid w:val="00FC1327"/>
    <w:rsid w:val="00FC1D4B"/>
    <w:rsid w:val="00FC201C"/>
    <w:rsid w:val="00FC3AE8"/>
    <w:rsid w:val="00FC3FF7"/>
    <w:rsid w:val="00FC59A3"/>
    <w:rsid w:val="00FC7615"/>
    <w:rsid w:val="00FD058E"/>
    <w:rsid w:val="00FD0E60"/>
    <w:rsid w:val="00FD158C"/>
    <w:rsid w:val="00FD176B"/>
    <w:rsid w:val="00FD1C93"/>
    <w:rsid w:val="00FD1D82"/>
    <w:rsid w:val="00FD1EE8"/>
    <w:rsid w:val="00FD2102"/>
    <w:rsid w:val="00FD2718"/>
    <w:rsid w:val="00FD45D6"/>
    <w:rsid w:val="00FD4CF5"/>
    <w:rsid w:val="00FD7771"/>
    <w:rsid w:val="00FE0294"/>
    <w:rsid w:val="00FE072D"/>
    <w:rsid w:val="00FE18B4"/>
    <w:rsid w:val="00FE21C8"/>
    <w:rsid w:val="00FE21FB"/>
    <w:rsid w:val="00FE22E6"/>
    <w:rsid w:val="00FE2F0E"/>
    <w:rsid w:val="00FE2F48"/>
    <w:rsid w:val="00FE37C2"/>
    <w:rsid w:val="00FE4C61"/>
    <w:rsid w:val="00FE50E3"/>
    <w:rsid w:val="00FE5276"/>
    <w:rsid w:val="00FE66FB"/>
    <w:rsid w:val="00FE697E"/>
    <w:rsid w:val="00FE69F1"/>
    <w:rsid w:val="00FE7783"/>
    <w:rsid w:val="00FE7884"/>
    <w:rsid w:val="00FF0155"/>
    <w:rsid w:val="00FF1C95"/>
    <w:rsid w:val="00FF3DBD"/>
    <w:rsid w:val="00FF4204"/>
    <w:rsid w:val="00FF4314"/>
    <w:rsid w:val="00FF456E"/>
    <w:rsid w:val="00FF4C9D"/>
    <w:rsid w:val="00FF4CCB"/>
    <w:rsid w:val="00FF7533"/>
    <w:rsid w:val="01F272B6"/>
    <w:rsid w:val="0289762D"/>
    <w:rsid w:val="02A27296"/>
    <w:rsid w:val="03DE6244"/>
    <w:rsid w:val="074D5E2F"/>
    <w:rsid w:val="084836D3"/>
    <w:rsid w:val="096A17F7"/>
    <w:rsid w:val="0AC0301A"/>
    <w:rsid w:val="0B0361AB"/>
    <w:rsid w:val="0BF8217D"/>
    <w:rsid w:val="0C297726"/>
    <w:rsid w:val="0C690A63"/>
    <w:rsid w:val="0D1D4905"/>
    <w:rsid w:val="0D643E7F"/>
    <w:rsid w:val="0F6C36F3"/>
    <w:rsid w:val="11F67115"/>
    <w:rsid w:val="163624CA"/>
    <w:rsid w:val="165B18A2"/>
    <w:rsid w:val="1877726D"/>
    <w:rsid w:val="1AAE5B85"/>
    <w:rsid w:val="1D8D1668"/>
    <w:rsid w:val="1DB1537E"/>
    <w:rsid w:val="21E824E4"/>
    <w:rsid w:val="250E640E"/>
    <w:rsid w:val="26B66F36"/>
    <w:rsid w:val="27915B24"/>
    <w:rsid w:val="27FF1350"/>
    <w:rsid w:val="2A1439FA"/>
    <w:rsid w:val="2B7360C6"/>
    <w:rsid w:val="2D07293B"/>
    <w:rsid w:val="2E6328CA"/>
    <w:rsid w:val="2EA410BA"/>
    <w:rsid w:val="309E566A"/>
    <w:rsid w:val="3318178D"/>
    <w:rsid w:val="332D23B2"/>
    <w:rsid w:val="338212C1"/>
    <w:rsid w:val="347C04A8"/>
    <w:rsid w:val="34BC536F"/>
    <w:rsid w:val="350C157A"/>
    <w:rsid w:val="35F23C22"/>
    <w:rsid w:val="36DF080E"/>
    <w:rsid w:val="3A57140D"/>
    <w:rsid w:val="3A824E0D"/>
    <w:rsid w:val="3BCC3508"/>
    <w:rsid w:val="3E860D05"/>
    <w:rsid w:val="47377CE5"/>
    <w:rsid w:val="49A8035A"/>
    <w:rsid w:val="50C90356"/>
    <w:rsid w:val="52673EA9"/>
    <w:rsid w:val="547326E1"/>
    <w:rsid w:val="55D674BF"/>
    <w:rsid w:val="571B3B14"/>
    <w:rsid w:val="58A855AA"/>
    <w:rsid w:val="59D0417D"/>
    <w:rsid w:val="59EB59D4"/>
    <w:rsid w:val="5A131F0A"/>
    <w:rsid w:val="5BFA4C69"/>
    <w:rsid w:val="5C53020E"/>
    <w:rsid w:val="5E915F2B"/>
    <w:rsid w:val="621C3F49"/>
    <w:rsid w:val="624578D4"/>
    <w:rsid w:val="63900EBC"/>
    <w:rsid w:val="63CF256B"/>
    <w:rsid w:val="650A4535"/>
    <w:rsid w:val="652143F5"/>
    <w:rsid w:val="6BF77346"/>
    <w:rsid w:val="6DD512DF"/>
    <w:rsid w:val="73AD6E76"/>
    <w:rsid w:val="7741155B"/>
    <w:rsid w:val="79AC38ED"/>
    <w:rsid w:val="79C84510"/>
    <w:rsid w:val="7AB62624"/>
    <w:rsid w:val="7EE61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hd w:val="clear" w:color="auto" w:fill="FFFFFF"/>
      <w:tabs>
        <w:tab w:val="left" w:pos="567"/>
      </w:tabs>
      <w:spacing w:before="0" w:after="0" w:line="300" w:lineRule="atLeast"/>
      <w:jc w:val="center"/>
      <w:outlineLvl w:val="0"/>
    </w:pPr>
    <w:rPr>
      <w:rFonts w:eastAsia="黑体"/>
      <w:bCs w:val="0"/>
      <w:kern w:val="0"/>
      <w:sz w:val="36"/>
    </w:rPr>
  </w:style>
  <w:style w:type="paragraph" w:styleId="4">
    <w:name w:val="heading 2"/>
    <w:basedOn w:val="1"/>
    <w:next w:val="1"/>
    <w:link w:val="52"/>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8"/>
    <w:basedOn w:val="1"/>
    <w:next w:val="1"/>
    <w:link w:val="61"/>
    <w:qFormat/>
    <w:uiPriority w:val="0"/>
    <w:pPr>
      <w:keepNext/>
      <w:keepLines/>
      <w:spacing w:before="240" w:after="64" w:line="320" w:lineRule="auto"/>
      <w:outlineLvl w:val="7"/>
    </w:pPr>
    <w:rPr>
      <w:rFonts w:ascii="Cambria" w:hAnsi="Cambria"/>
      <w:sz w:val="24"/>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43"/>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67"/>
    <w:semiHidden/>
    <w:qFormat/>
    <w:uiPriority w:val="0"/>
    <w:pPr>
      <w:jc w:val="left"/>
    </w:pPr>
  </w:style>
  <w:style w:type="paragraph" w:styleId="10">
    <w:name w:val="Body Text"/>
    <w:basedOn w:val="1"/>
    <w:link w:val="53"/>
    <w:qFormat/>
    <w:uiPriority w:val="0"/>
    <w:pPr>
      <w:spacing w:after="120"/>
    </w:pPr>
  </w:style>
  <w:style w:type="paragraph" w:styleId="11">
    <w:name w:val="Body Text Indent"/>
    <w:basedOn w:val="1"/>
    <w:link w:val="54"/>
    <w:qFormat/>
    <w:uiPriority w:val="0"/>
    <w:pPr>
      <w:spacing w:after="120"/>
      <w:ind w:left="420" w:leftChars="200"/>
    </w:pPr>
  </w:style>
  <w:style w:type="paragraph" w:styleId="12">
    <w:name w:val="Plain Text"/>
    <w:basedOn w:val="1"/>
    <w:link w:val="39"/>
    <w:qFormat/>
    <w:uiPriority w:val="0"/>
    <w:rPr>
      <w:rFonts w:ascii="宋体" w:hAnsi="Courier New"/>
      <w:szCs w:val="20"/>
    </w:rPr>
  </w:style>
  <w:style w:type="paragraph" w:styleId="13">
    <w:name w:val="toc 8"/>
    <w:basedOn w:val="1"/>
    <w:next w:val="1"/>
    <w:qFormat/>
    <w:uiPriority w:val="0"/>
    <w:pPr>
      <w:ind w:left="2940" w:leftChars="1400"/>
    </w:pPr>
  </w:style>
  <w:style w:type="paragraph" w:styleId="14">
    <w:name w:val="Balloon Text"/>
    <w:basedOn w:val="1"/>
    <w:semiHidden/>
    <w:uiPriority w:val="0"/>
    <w:rPr>
      <w:sz w:val="18"/>
      <w:szCs w:val="18"/>
    </w:rPr>
  </w:style>
  <w:style w:type="paragraph" w:styleId="15">
    <w:name w:val="footer"/>
    <w:basedOn w:val="1"/>
    <w:link w:val="58"/>
    <w:qFormat/>
    <w:uiPriority w:val="0"/>
    <w:pPr>
      <w:tabs>
        <w:tab w:val="center" w:pos="4153"/>
        <w:tab w:val="right" w:pos="8306"/>
      </w:tabs>
      <w:snapToGrid w:val="0"/>
      <w:jc w:val="left"/>
    </w:pPr>
    <w:rPr>
      <w:sz w:val="18"/>
      <w:szCs w:val="18"/>
    </w:rPr>
  </w:style>
  <w:style w:type="paragraph" w:styleId="16">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iPriority w:val="0"/>
    <w:pPr>
      <w:spacing w:before="120" w:after="120"/>
      <w:jc w:val="left"/>
    </w:pPr>
    <w:rPr>
      <w:b/>
      <w:bCs/>
      <w:caps/>
    </w:rPr>
  </w:style>
  <w:style w:type="paragraph" w:styleId="18">
    <w:name w:val="Body Text Indent 3"/>
    <w:basedOn w:val="1"/>
    <w:link w:val="57"/>
    <w:qFormat/>
    <w:uiPriority w:val="0"/>
    <w:pPr>
      <w:spacing w:after="120"/>
      <w:ind w:left="420" w:leftChars="200"/>
    </w:pPr>
    <w:rPr>
      <w:sz w:val="16"/>
      <w:szCs w:val="16"/>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99"/>
    <w:pPr>
      <w:widowControl/>
      <w:spacing w:before="100" w:beforeAutospacing="1" w:after="100" w:afterAutospacing="1"/>
      <w:jc w:val="left"/>
    </w:pPr>
    <w:rPr>
      <w:kern w:val="0"/>
      <w:sz w:val="24"/>
    </w:rPr>
  </w:style>
  <w:style w:type="paragraph" w:styleId="21">
    <w:name w:val="Title"/>
    <w:basedOn w:val="1"/>
    <w:link w:val="59"/>
    <w:qFormat/>
    <w:uiPriority w:val="0"/>
    <w:pPr>
      <w:spacing w:before="240" w:after="60"/>
      <w:jc w:val="center"/>
      <w:outlineLvl w:val="0"/>
    </w:pPr>
    <w:rPr>
      <w:rFonts w:ascii="Arial" w:hAnsi="Arial" w:eastAsia="隶书"/>
      <w:b/>
      <w:bCs/>
      <w:sz w:val="32"/>
      <w:szCs w:val="32"/>
    </w:rPr>
  </w:style>
  <w:style w:type="paragraph" w:styleId="22">
    <w:name w:val="annotation subject"/>
    <w:basedOn w:val="9"/>
    <w:next w:val="9"/>
    <w:semiHidden/>
    <w:qFormat/>
    <w:uiPriority w:val="0"/>
    <w:rPr>
      <w:b/>
      <w:bCs/>
    </w:rPr>
  </w:style>
  <w:style w:type="paragraph" w:styleId="23">
    <w:name w:val="Body Text First Indent"/>
    <w:basedOn w:val="10"/>
    <w:link w:val="42"/>
    <w:qFormat/>
    <w:uiPriority w:val="0"/>
    <w:pPr>
      <w:ind w:firstLine="420" w:firstLineChars="100"/>
    </w:pPr>
  </w:style>
  <w:style w:type="table" w:styleId="25">
    <w:name w:val="Table Grid"/>
    <w:basedOn w:val="2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semiHidden/>
    <w:qFormat/>
    <w:uiPriority w:val="0"/>
    <w:rPr>
      <w:sz w:val="21"/>
      <w:szCs w:val="21"/>
    </w:rPr>
  </w:style>
  <w:style w:type="paragraph" w:customStyle="1" w:styleId="3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样式1 Char Char"/>
    <w:basedOn w:val="1"/>
    <w:next w:val="1"/>
    <w:link w:val="34"/>
    <w:qFormat/>
    <w:uiPriority w:val="0"/>
    <w:pPr>
      <w:spacing w:line="360" w:lineRule="auto"/>
      <w:ind w:firstLine="516" w:firstLineChars="215"/>
    </w:pPr>
    <w:rPr>
      <w:sz w:val="24"/>
      <w:szCs w:val="20"/>
    </w:rPr>
  </w:style>
  <w:style w:type="character" w:customStyle="1" w:styleId="34">
    <w:name w:val="样式1 Char Char Char"/>
    <w:link w:val="33"/>
    <w:qFormat/>
    <w:uiPriority w:val="0"/>
    <w:rPr>
      <w:rFonts w:eastAsia="宋体"/>
      <w:kern w:val="2"/>
      <w:sz w:val="24"/>
      <w:lang w:val="en-US" w:eastAsia="zh-CN" w:bidi="ar-SA"/>
    </w:rPr>
  </w:style>
  <w:style w:type="paragraph" w:customStyle="1" w:styleId="35">
    <w:name w:val="样式1"/>
    <w:basedOn w:val="21"/>
    <w:link w:val="36"/>
    <w:qFormat/>
    <w:uiPriority w:val="0"/>
    <w:pPr>
      <w:spacing w:before="120" w:after="120"/>
    </w:pPr>
    <w:rPr>
      <w:rFonts w:eastAsia="黑体" w:cs="Arial"/>
      <w:b w:val="0"/>
      <w:sz w:val="30"/>
      <w:szCs w:val="21"/>
    </w:rPr>
  </w:style>
  <w:style w:type="character" w:customStyle="1" w:styleId="36">
    <w:name w:val="样式1 Char"/>
    <w:link w:val="35"/>
    <w:qFormat/>
    <w:uiPriority w:val="0"/>
    <w:rPr>
      <w:rFonts w:ascii="Arial" w:hAnsi="Arial" w:eastAsia="黑体" w:cs="Arial"/>
      <w:bCs/>
      <w:kern w:val="2"/>
      <w:sz w:val="30"/>
      <w:szCs w:val="21"/>
      <w:lang w:val="en-US" w:eastAsia="zh-CN" w:bidi="ar-SA"/>
    </w:rPr>
  </w:style>
  <w:style w:type="paragraph" w:customStyle="1" w:styleId="3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Char"/>
    <w:basedOn w:val="1"/>
    <w:qFormat/>
    <w:uiPriority w:val="0"/>
    <w:pPr>
      <w:widowControl/>
      <w:spacing w:after="160" w:line="360" w:lineRule="auto"/>
      <w:jc w:val="center"/>
    </w:pPr>
    <w:rPr>
      <w:rFonts w:ascii="宋体" w:hAnsi="宋体"/>
      <w:color w:val="0000FF"/>
      <w:kern w:val="0"/>
      <w:sz w:val="52"/>
      <w:szCs w:val="52"/>
    </w:rPr>
  </w:style>
  <w:style w:type="character" w:customStyle="1" w:styleId="39">
    <w:name w:val="纯文本 Char"/>
    <w:link w:val="12"/>
    <w:qFormat/>
    <w:uiPriority w:val="0"/>
    <w:rPr>
      <w:rFonts w:ascii="宋体" w:hAnsi="Courier New" w:eastAsia="宋体"/>
      <w:kern w:val="2"/>
      <w:sz w:val="21"/>
      <w:lang w:val="en-US" w:eastAsia="zh-CN" w:bidi="ar-SA"/>
    </w:rPr>
  </w:style>
  <w:style w:type="paragraph" w:customStyle="1" w:styleId="4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41">
    <w:name w:val="Char1"/>
    <w:basedOn w:val="1"/>
    <w:qFormat/>
    <w:uiPriority w:val="0"/>
    <w:rPr>
      <w:rFonts w:ascii="仿宋_GB2312" w:eastAsia="仿宋_GB2312"/>
      <w:b/>
      <w:sz w:val="32"/>
      <w:szCs w:val="32"/>
    </w:rPr>
  </w:style>
  <w:style w:type="character" w:customStyle="1" w:styleId="42">
    <w:name w:val="正文首行缩进 Char"/>
    <w:link w:val="23"/>
    <w:qFormat/>
    <w:uiPriority w:val="0"/>
    <w:rPr>
      <w:rFonts w:eastAsia="宋体"/>
      <w:kern w:val="2"/>
      <w:sz w:val="21"/>
      <w:szCs w:val="24"/>
      <w:lang w:val="en-US" w:eastAsia="zh-CN" w:bidi="ar-SA"/>
    </w:rPr>
  </w:style>
  <w:style w:type="character" w:customStyle="1" w:styleId="43">
    <w:name w:val="正文缩进 Char"/>
    <w:link w:val="7"/>
    <w:qFormat/>
    <w:uiPriority w:val="0"/>
    <w:rPr>
      <w:rFonts w:eastAsia="宋体"/>
      <w:kern w:val="2"/>
      <w:sz w:val="21"/>
      <w:szCs w:val="24"/>
      <w:lang w:val="en-US" w:eastAsia="zh-CN" w:bidi="ar-SA"/>
    </w:rPr>
  </w:style>
  <w:style w:type="character" w:customStyle="1" w:styleId="44">
    <w:name w:val="tpc_title1"/>
    <w:qFormat/>
    <w:uiPriority w:val="0"/>
    <w:rPr>
      <w:b/>
      <w:bCs/>
      <w:sz w:val="18"/>
      <w:szCs w:val="18"/>
    </w:rPr>
  </w:style>
  <w:style w:type="character" w:customStyle="1" w:styleId="45">
    <w:name w:val="tpc_content1"/>
    <w:qFormat/>
    <w:uiPriority w:val="0"/>
    <w:rPr>
      <w:sz w:val="20"/>
      <w:szCs w:val="20"/>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47">
    <w:name w:val="List Paragraph"/>
    <w:basedOn w:val="1"/>
    <w:link w:val="70"/>
    <w:qFormat/>
    <w:uiPriority w:val="34"/>
    <w:pPr>
      <w:ind w:firstLine="420" w:firstLineChars="200"/>
    </w:pPr>
  </w:style>
  <w:style w:type="paragraph" w:customStyle="1" w:styleId="48">
    <w:name w:val="正文1"/>
    <w:basedOn w:val="1"/>
    <w:qFormat/>
    <w:uiPriority w:val="0"/>
    <w:pPr>
      <w:tabs>
        <w:tab w:val="left" w:pos="4"/>
      </w:tabs>
      <w:spacing w:line="360" w:lineRule="auto"/>
      <w:ind w:left="-2" w:firstLine="482"/>
    </w:pPr>
    <w:rPr>
      <w:rFonts w:ascii="宋体" w:hAnsi="宋体"/>
      <w:sz w:val="24"/>
    </w:rPr>
  </w:style>
  <w:style w:type="paragraph" w:customStyle="1" w:styleId="4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50">
    <w:name w:val="缩进正文"/>
    <w:basedOn w:val="1"/>
    <w:link w:val="51"/>
    <w:qFormat/>
    <w:uiPriority w:val="0"/>
    <w:pPr>
      <w:ind w:firstLine="560" w:firstLineChars="200"/>
    </w:pPr>
    <w:rPr>
      <w:rFonts w:eastAsia="仿宋_GB2312" w:cs="宋体"/>
      <w:sz w:val="28"/>
      <w:szCs w:val="20"/>
    </w:rPr>
  </w:style>
  <w:style w:type="character" w:customStyle="1" w:styleId="51">
    <w:name w:val="缩进正文 Char"/>
    <w:link w:val="50"/>
    <w:qFormat/>
    <w:uiPriority w:val="0"/>
    <w:rPr>
      <w:rFonts w:eastAsia="仿宋_GB2312" w:cs="宋体"/>
      <w:kern w:val="2"/>
      <w:sz w:val="28"/>
      <w:lang w:val="en-US" w:eastAsia="zh-CN" w:bidi="ar-SA"/>
    </w:rPr>
  </w:style>
  <w:style w:type="character" w:customStyle="1" w:styleId="52">
    <w:name w:val="标题 2 Char"/>
    <w:link w:val="4"/>
    <w:qFormat/>
    <w:uiPriority w:val="99"/>
    <w:rPr>
      <w:rFonts w:ascii="Arial" w:hAnsi="Arial" w:eastAsia="黑体"/>
      <w:b/>
      <w:bCs/>
      <w:kern w:val="2"/>
      <w:sz w:val="32"/>
      <w:szCs w:val="32"/>
    </w:rPr>
  </w:style>
  <w:style w:type="character" w:customStyle="1" w:styleId="53">
    <w:name w:val="正文文本 Char"/>
    <w:link w:val="10"/>
    <w:qFormat/>
    <w:uiPriority w:val="0"/>
    <w:rPr>
      <w:kern w:val="2"/>
      <w:sz w:val="21"/>
      <w:szCs w:val="24"/>
    </w:rPr>
  </w:style>
  <w:style w:type="character" w:customStyle="1" w:styleId="54">
    <w:name w:val="正文文本缩进 Char"/>
    <w:link w:val="11"/>
    <w:qFormat/>
    <w:uiPriority w:val="0"/>
    <w:rPr>
      <w:kern w:val="2"/>
      <w:sz w:val="21"/>
      <w:szCs w:val="24"/>
    </w:rPr>
  </w:style>
  <w:style w:type="paragraph" w:customStyle="1" w:styleId="5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pPr>
      <w:widowControl/>
    </w:pPr>
    <w:rPr>
      <w:kern w:val="0"/>
      <w:szCs w:val="21"/>
    </w:rPr>
  </w:style>
  <w:style w:type="character" w:customStyle="1" w:styleId="57">
    <w:name w:val="正文文本缩进 3 Char"/>
    <w:link w:val="18"/>
    <w:qFormat/>
    <w:uiPriority w:val="0"/>
    <w:rPr>
      <w:kern w:val="2"/>
      <w:sz w:val="16"/>
      <w:szCs w:val="16"/>
    </w:rPr>
  </w:style>
  <w:style w:type="character" w:customStyle="1" w:styleId="58">
    <w:name w:val="页脚 Char"/>
    <w:link w:val="15"/>
    <w:qFormat/>
    <w:uiPriority w:val="0"/>
    <w:rPr>
      <w:kern w:val="2"/>
      <w:sz w:val="18"/>
      <w:szCs w:val="18"/>
    </w:rPr>
  </w:style>
  <w:style w:type="character" w:customStyle="1" w:styleId="59">
    <w:name w:val="标题 Char"/>
    <w:link w:val="21"/>
    <w:qFormat/>
    <w:uiPriority w:val="0"/>
    <w:rPr>
      <w:rFonts w:ascii="Arial" w:hAnsi="Arial" w:eastAsia="隶书" w:cs="Arial"/>
      <w:b/>
      <w:bCs/>
      <w:kern w:val="2"/>
      <w:sz w:val="32"/>
      <w:szCs w:val="32"/>
    </w:rPr>
  </w:style>
  <w:style w:type="paragraph" w:customStyle="1" w:styleId="60">
    <w:name w:val="列出段落1"/>
    <w:basedOn w:val="1"/>
    <w:qFormat/>
    <w:uiPriority w:val="34"/>
    <w:pPr>
      <w:ind w:firstLine="420" w:firstLineChars="200"/>
    </w:pPr>
    <w:rPr>
      <w:rFonts w:ascii="Calibri" w:hAnsi="Calibri" w:cs="黑体"/>
      <w:szCs w:val="22"/>
    </w:rPr>
  </w:style>
  <w:style w:type="character" w:customStyle="1" w:styleId="61">
    <w:name w:val="标题 8 Char"/>
    <w:link w:val="6"/>
    <w:qFormat/>
    <w:uiPriority w:val="0"/>
    <w:rPr>
      <w:rFonts w:ascii="Cambria" w:hAnsi="Cambria" w:eastAsia="宋体" w:cs="Times New Roman"/>
      <w:kern w:val="2"/>
      <w:sz w:val="24"/>
      <w:szCs w:val="24"/>
    </w:rPr>
  </w:style>
  <w:style w:type="paragraph" w:customStyle="1" w:styleId="6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63">
    <w:name w:val="页眉 Char"/>
    <w:link w:val="16"/>
    <w:qFormat/>
    <w:uiPriority w:val="0"/>
    <w:rPr>
      <w:kern w:val="2"/>
      <w:sz w:val="18"/>
      <w:szCs w:val="18"/>
    </w:rPr>
  </w:style>
  <w:style w:type="character" w:customStyle="1" w:styleId="64">
    <w:name w:val="标题 4 Char"/>
    <w:link w:val="5"/>
    <w:qFormat/>
    <w:uiPriority w:val="0"/>
    <w:rPr>
      <w:rFonts w:ascii="Arial" w:hAnsi="Arial" w:eastAsia="黑体"/>
      <w:b/>
      <w:bCs/>
      <w:kern w:val="2"/>
      <w:sz w:val="28"/>
      <w:szCs w:val="28"/>
    </w:rPr>
  </w:style>
  <w:style w:type="character" w:customStyle="1" w:styleId="65">
    <w:name w:val="font2"/>
    <w:basedOn w:val="26"/>
    <w:qFormat/>
    <w:uiPriority w:val="0"/>
  </w:style>
  <w:style w:type="paragraph" w:customStyle="1" w:styleId="66">
    <w:name w:val="表格内容"/>
    <w:basedOn w:val="1"/>
    <w:qFormat/>
    <w:uiPriority w:val="0"/>
    <w:pPr>
      <w:adjustRightInd w:val="0"/>
      <w:spacing w:line="320" w:lineRule="atLeast"/>
      <w:jc w:val="center"/>
      <w:textAlignment w:val="baseline"/>
    </w:pPr>
    <w:rPr>
      <w:kern w:val="0"/>
      <w:sz w:val="24"/>
      <w:szCs w:val="20"/>
    </w:rPr>
  </w:style>
  <w:style w:type="character" w:customStyle="1" w:styleId="67">
    <w:name w:val="批注文字 Char"/>
    <w:link w:val="9"/>
    <w:semiHidden/>
    <w:qFormat/>
    <w:uiPriority w:val="0"/>
    <w:rPr>
      <w:kern w:val="2"/>
      <w:sz w:val="21"/>
      <w:szCs w:val="24"/>
    </w:rPr>
  </w:style>
  <w:style w:type="paragraph" w:customStyle="1" w:styleId="6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样式3"/>
    <w:basedOn w:val="10"/>
    <w:qFormat/>
    <w:uiPriority w:val="0"/>
    <w:pPr>
      <w:tabs>
        <w:tab w:val="left" w:pos="562"/>
        <w:tab w:val="left" w:pos="3372"/>
        <w:tab w:val="left" w:pos="3653"/>
      </w:tabs>
      <w:spacing w:after="0" w:line="360" w:lineRule="auto"/>
    </w:pPr>
    <w:rPr>
      <w:rFonts w:ascii="宋体"/>
    </w:rPr>
  </w:style>
  <w:style w:type="character" w:customStyle="1" w:styleId="70">
    <w:name w:val="列出段落 Char"/>
    <w:link w:val="47"/>
    <w:qFormat/>
    <w:uiPriority w:val="34"/>
    <w:rPr>
      <w:kern w:val="2"/>
      <w:sz w:val="21"/>
      <w:szCs w:val="24"/>
    </w:rPr>
  </w:style>
  <w:style w:type="paragraph" w:customStyle="1" w:styleId="71">
    <w:name w:val="正文文字2"/>
    <w:basedOn w:val="10"/>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72">
    <w:name w:val="正文文字3"/>
    <w:basedOn w:val="10"/>
    <w:qFormat/>
    <w:uiPriority w:val="0"/>
    <w:pPr>
      <w:adjustRightInd w:val="0"/>
      <w:spacing w:line="360" w:lineRule="atLeast"/>
      <w:ind w:left="72" w:leftChars="30" w:right="72" w:rightChars="30"/>
      <w:textAlignment w:val="baseline"/>
    </w:pPr>
    <w:rPr>
      <w:kern w:val="0"/>
    </w:rPr>
  </w:style>
  <w:style w:type="paragraph" w:customStyle="1" w:styleId="73">
    <w:name w:val="注"/>
    <w:basedOn w:val="1"/>
    <w:qFormat/>
    <w:uiPriority w:val="0"/>
    <w:pPr>
      <w:adjustRightInd w:val="0"/>
      <w:spacing w:line="360" w:lineRule="atLeast"/>
      <w:ind w:left="840" w:hanging="420"/>
      <w:textAlignment w:val="baseline"/>
    </w:pPr>
    <w:rPr>
      <w:kern w:val="0"/>
      <w:szCs w:val="20"/>
    </w:rPr>
  </w:style>
  <w:style w:type="paragraph" w:customStyle="1" w:styleId="74">
    <w:name w:val="Table Paragraph"/>
    <w:basedOn w:val="1"/>
    <w:qFormat/>
    <w:uiPriority w:val="0"/>
    <w:pPr>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EA66E-D25C-49EE-B66B-740C4FBBEC3A}">
  <ds:schemaRefs/>
</ds:datastoreItem>
</file>

<file path=customXml/itemProps3.xml><?xml version="1.0" encoding="utf-8"?>
<ds:datastoreItem xmlns:ds="http://schemas.openxmlformats.org/officeDocument/2006/customXml" ds:itemID="{11463A1F-DC4F-482A-815C-0344F1590D59}">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42</Pages>
  <Words>26088</Words>
  <Characters>27719</Characters>
  <Lines>212</Lines>
  <Paragraphs>59</Paragraphs>
  <TotalTime>166</TotalTime>
  <ScaleCrop>false</ScaleCrop>
  <LinksUpToDate>false</LinksUpToDate>
  <CharactersWithSpaces>28232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2018-09-21T06:07:00Z</dcterms:created>
  <dc:creator>微软用户</dc:creator>
  <cp:lastModifiedBy>SunnyBird</cp:lastModifiedBy>
  <cp:lastPrinted>2017-07-12T14:41:00Z</cp:lastPrinted>
  <dcterms:modified xsi:type="dcterms:W3CDTF">2022-11-19T02:03:00Z</dcterms:modified>
  <dc:title>招标编号：UHO2010-G0029</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F72810D463C24193967FC6E0E22062E7</vt:lpwstr>
  </property>
</Properties>
</file>