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_GBK" w:hAnsi="方正小标宋_GBK" w:eastAsia="方正小标宋_GBK" w:cs="方正小标宋_GBK"/>
          <w:bCs w:val="0"/>
          <w:sz w:val="44"/>
          <w:szCs w:val="44"/>
        </w:rPr>
      </w:pPr>
      <w:r>
        <w:rPr>
          <w:rFonts w:hint="eastAsia" w:ascii="方正小标宋_GBK" w:hAnsi="方正小标宋_GBK" w:eastAsia="方正小标宋_GBK" w:cs="方正小标宋_GBK"/>
          <w:bCs w:val="0"/>
          <w:sz w:val="44"/>
          <w:szCs w:val="44"/>
        </w:rPr>
        <w:t>2022年度国家社会科学基金后期资助暨优秀博士论文出版项目申报公告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经全国哲学社会科学工作领导小组批准，现将2022年度国家社科基金后期资助暨优秀博士论文出版项目申报有关事项公告如下：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一、项目宗旨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二、资助对象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科基金后期资助项目和优秀博士论文出版项目主要资助已基本完成且尚未出版的哲学社会科学研究的优秀学术成果。以资助学术专著为主，也资助少量学术价值较高的资料汇编、调研报告和工具书。国家社科基金26个学科，包括教育学、艺术学、军事学三个单列学科均可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三、项目类别与资助经费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2022年，国家社科基金后期资助项目和优秀博士论文出版项目经费管理实行包干制试点。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四、申报条件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2.申请人所在单位应设有科研管理部门，能够提供开展研究的必要条件并承诺信誉保证。申请优秀博士论文出版项目，如申请人所在单位无科研管理部门，可委托博士学位授予单位进行申报和管理。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申报重点项目和一般项目的成果需完成80%以上（退休科研人员申报的成果完成比例不低于70%）。以博士论文、博士后研究报告为基础申报重点项目、一般项目，论文完成日期应为三年以上（答辩日期为2019年6月30日之前），并在原论文基础上进行实质性修改，且增删、修改内容篇幅达到原论文字数30%以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优秀博士论文出版项目的申请人年龄应在35岁以下（1987年4月28日后出生），论文须以中文写作且被毕业院校评定为“优秀”等级，完成日期为2019年6月1日-2021年6月30日（以答辩日期为准）。同等条件下，获得省部级以上优秀博士论文的优先予以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5.凡有下列情形之一者不得申报：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（1）申请人承担的国家社科基金项目、国家自然科学基金项目及其他国家级科研项目尚未结项；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（2）属于国家社科基金项目、国家自然科学基金项目及其他国家级科研项目、教育部人文社会科学研究各类项目的研究成果；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（3）已出版著作的修订本，或与申请人本人出版著作重复10%以上；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（4）成果内容涉及国家秘密。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五、申报办法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2.申报材料。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申报重点项目和一般项目：①申请书6份；②申报成果6套（如申报书稿超过60万字，需另外报送6份成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见附件4）。</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申报优秀博士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上述材料的电子版需一同报送我办。</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教育学、艺术学、军事学三个单列学科的项目申报，分别由全国教育科学规划办、全国艺术科学规划办和全军社科规划办直接受理。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申报材料不予退回，我办将做好申报材料的保密工作。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六、研究及出版要求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项目负责人在项目执行期间要遵守相关承诺，履行约定义务，按期完成研究任务，获准立项的课题《申请书》视为具有约束力的资助合同文本。重点项目和一般项目完成时限为1-3年，优秀博士论文出版项目要求于2023年8月前完成修改出版，申请人应按时限完成研究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项目最终成果须先鉴定、后出版。各省（区、市）、兵团社科规划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鉴定结项之前，申请人不得擅自出版，违规者将终止申请或撤项，并通报批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3.后期资助项目成果出版后，我办将常态化遴选完成质量与学术价值较高的作品，形成国家社科基金“优秀出版成果重点推荐书目”，对优秀成果进行形式多样的宣传推介。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七、其他注意事项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2.各地社科规划（工作）办、在京委托管理机构和责任单位要加强对申报工作的组织和指导，切实提高申报质量，严格审核申请人和申报成果的资格条件，签署明确意见后上报我办。</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3.2022年国家社科基金后期资助项目和优秀博士论文出版项目集中受理申报时间为7月1日至7月15日。纸质版申报材料统一由各地社科规划（工作）办或在京委托管理机构寄送，不接受个人以及科研单位、出版机构的报送；电子版申报信息汇总表需由各地社科规划（工作）办或在京委托管理机构汇总审核后，统一发送至我办。</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全国社科工作办基金处联系电话：（010）83083062、83083064</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全国教育规划办联系电话：（010）62003307</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全国艺术规划办联系电话：（010）87930753</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全军社科规划办联系电话：（010）66905825</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全国哲学社会科学工作办公室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2022年4月24日</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附：目前暂定的推荐申报出版机构名单（63家）</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人民出版社、学习出版社、中国社会科学出版社、商务印书馆、中华书局、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外文出版社、解放军出版社、军事科学出版社、文物出版社、故宫出版社、上海世纪出版集团、上海人民出版社、上海三联书店、上海古籍出版社、上海远东出版社、上海社会科学院出版社、天津古籍出版社、天津人民出版社、山东人民出版社、湖北人民出版社、广东人民出版社、四川人民出版社、陕西人民出版社</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北京大学出版社、中国人民大学出版社、北京师范大学出版社、清华大学出版社、外语教学与研究出版社、中国政法大学出版社、国防大学出版社、复旦大学出版社、华东师范大学出版社、上海交通大学出版社、南京大学出版社、浙江大学出版社、武汉大学出版社、山</w:t>
      </w:r>
      <w:bookmarkStart w:id="0" w:name="_GoBack"/>
      <w:bookmarkEnd w:id="0"/>
      <w:r>
        <w:rPr>
          <w:rFonts w:hint="eastAsia" w:ascii="仿宋" w:hAnsi="仿宋" w:eastAsia="仿宋" w:cs="仿宋"/>
          <w:sz w:val="32"/>
          <w:szCs w:val="32"/>
          <w:lang w:val="en-US" w:eastAsia="zh-CN"/>
        </w:rPr>
        <w:t>东大学出版社、吉林大学出版社、厦门大学出版社、南开大学出版社、中山大学出版社、四川大学出版社、西南大学出版社、兰州大学出版社、安徽大学出版社</w:t>
      </w:r>
    </w:p>
    <w:p>
      <w:pPr>
        <w:bidi w:val="0"/>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533CAE-F9B9-4E4A-8074-9005884A0C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embedRegular r:id="rId2" w:fontKey="{367DA6D6-264C-42E8-BF67-AAE28CBE59A5}"/>
  </w:font>
  <w:font w:name="仿宋">
    <w:panose1 w:val="02010609060101010101"/>
    <w:charset w:val="86"/>
    <w:family w:val="auto"/>
    <w:pitch w:val="default"/>
    <w:sig w:usb0="800002BF" w:usb1="38CF7CFA" w:usb2="00000016" w:usb3="00000000" w:csb0="00040001" w:csb1="00000000"/>
    <w:embedRegular r:id="rId3" w:fontKey="{6A1705AE-2F1B-465F-B83F-E57076FC8CF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81327D"/>
    <w:rsid w:val="6AEE1BF9"/>
    <w:rsid w:val="74E2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Emphasis"/>
    <w:basedOn w:val="5"/>
    <w:qFormat/>
    <w:uiPriority w:val="0"/>
  </w:style>
  <w:style w:type="character" w:styleId="9">
    <w:name w:val="Hyperlink"/>
    <w:basedOn w:val="5"/>
    <w:qFormat/>
    <w:uiPriority w:val="0"/>
    <w:rPr>
      <w:color w:val="0000FF"/>
      <w:u w:val="none"/>
    </w:rPr>
  </w:style>
  <w:style w:type="character" w:customStyle="1" w:styleId="10">
    <w:name w:val="first-child"/>
    <w:basedOn w:val="5"/>
    <w:qFormat/>
    <w:uiPriority w:val="0"/>
    <w:rPr>
      <w:rFonts w:ascii="微软雅黑" w:hAnsi="微软雅黑" w:eastAsia="微软雅黑" w:cs="微软雅黑"/>
      <w:color w:val="114396"/>
      <w:sz w:val="14"/>
      <w:szCs w:val="14"/>
    </w:rPr>
  </w:style>
  <w:style w:type="character" w:customStyle="1" w:styleId="11">
    <w:name w:val="nth-child(2)"/>
    <w:basedOn w:val="5"/>
    <w:qFormat/>
    <w:uiPriority w:val="0"/>
    <w:rPr>
      <w:rFonts w:hint="eastAsia" w:ascii="微软雅黑" w:hAnsi="微软雅黑" w:eastAsia="微软雅黑" w:cs="微软雅黑"/>
      <w:color w:val="E8000D"/>
      <w:sz w:val="12"/>
      <w:szCs w:val="12"/>
    </w:rPr>
  </w:style>
  <w:style w:type="character" w:customStyle="1" w:styleId="12">
    <w:name w:val="nth-child(3)"/>
    <w:basedOn w:val="5"/>
    <w:qFormat/>
    <w:uiPriority w:val="0"/>
    <w:rPr>
      <w:rFonts w:hint="eastAsia" w:ascii="微软雅黑" w:hAnsi="微软雅黑" w:eastAsia="微软雅黑" w:cs="微软雅黑"/>
      <w:color w:val="114396"/>
      <w:sz w:val="14"/>
      <w:szCs w:val="14"/>
    </w:rPr>
  </w:style>
  <w:style w:type="character" w:customStyle="1" w:styleId="13">
    <w:name w:val="more"/>
    <w:basedOn w:val="5"/>
    <w:qFormat/>
    <w:uiPriority w:val="0"/>
    <w:rPr>
      <w:color w:val="E8000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2021-04-02T16:44:00Z</dcterms:created>
  <dc:creator>李崇正</dc:creator>
  <cp:lastModifiedBy>wkb</cp:lastModifiedBy>
  <dcterms:modified xsi:type="dcterms:W3CDTF">2022-04-25T08:58:02Z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KSOSaveFontToCloudKey">
    <vt:lpwstr>259496237_cloud</vt:lpwstr>
  </property>
  <property fmtid="{D5CDD505-2E9C-101B-9397-08002B2CF9AE}" pid="4" name="ICV">
    <vt:lpwstr>DF015E6B09AA413F8C440EDB64F8C222</vt:lpwstr>
  </property>
  <property fmtid="{D5CDD505-2E9C-101B-9397-08002B2CF9AE}" pid="5" name="commondata">
    <vt:lpwstr>eyJoZGlkIjoiODViY2JkMjU3NGYzZTEwMzZmMGFkZWViYmNkYWU3NDIifQ==</vt:lpwstr>
  </property>
</Properties>
</file>