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outlineLvl w:val="0"/>
        <w:rPr>
          <w:rFonts w:ascii="宋体" w:hAnsi="宋体" w:cs="宋体"/>
          <w:kern w:val="0"/>
          <w:sz w:val="44"/>
          <w:szCs w:val="44"/>
          <w:lang w:val="en-GB"/>
        </w:rPr>
      </w:pPr>
      <w:r>
        <w:rPr>
          <w:rFonts w:hint="eastAsia" w:ascii="宋体" w:hAnsi="宋体" w:cs="宋体"/>
          <w:kern w:val="0"/>
          <w:sz w:val="44"/>
          <w:szCs w:val="44"/>
          <w:lang w:val="en-GB" w:eastAsia="zh-CN"/>
        </w:rPr>
        <w:t>附件</w:t>
      </w:r>
      <w:r>
        <w:rPr>
          <w:rFonts w:hint="eastAsia" w:ascii="宋体" w:hAnsi="宋体" w:cs="宋体"/>
          <w:kern w:val="0"/>
          <w:sz w:val="44"/>
          <w:szCs w:val="44"/>
          <w:lang w:val="en-US" w:eastAsia="zh-CN"/>
        </w:rPr>
        <w:t>1：</w:t>
      </w:r>
      <w:r>
        <w:rPr>
          <w:rFonts w:ascii="宋体" w:hAnsi="宋体" w:cs="宋体"/>
          <w:kern w:val="0"/>
          <w:sz w:val="44"/>
          <w:szCs w:val="44"/>
          <w:lang w:val="en-GB"/>
        </w:rPr>
        <w:t>关于</w:t>
      </w:r>
      <w:r>
        <w:rPr>
          <w:rFonts w:hint="eastAsia" w:ascii="宋体" w:hAnsi="宋体" w:cs="宋体"/>
          <w:kern w:val="0"/>
          <w:sz w:val="44"/>
          <w:szCs w:val="44"/>
          <w:lang w:val="en-GB"/>
        </w:rPr>
        <w:t>授权学位分委员会对</w:t>
      </w:r>
      <w:r>
        <w:rPr>
          <w:rFonts w:ascii="宋体" w:hAnsi="宋体" w:cs="宋体"/>
          <w:kern w:val="0"/>
          <w:sz w:val="44"/>
          <w:szCs w:val="44"/>
          <w:lang w:val="en-GB"/>
        </w:rPr>
        <w:t>非全日制</w:t>
      </w:r>
    </w:p>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right="0" w:rightChars="0" w:firstLine="0" w:firstLineChars="0"/>
        <w:jc w:val="center"/>
        <w:textAlignment w:val="auto"/>
        <w:outlineLvl w:val="0"/>
        <w:rPr>
          <w:rFonts w:ascii="宋体" w:hAnsi="宋体" w:cs="宋体"/>
          <w:kern w:val="0"/>
          <w:sz w:val="44"/>
          <w:szCs w:val="44"/>
          <w:lang w:val="en-GB"/>
        </w:rPr>
      </w:pPr>
      <w:r>
        <w:rPr>
          <w:rFonts w:ascii="宋体" w:hAnsi="宋体" w:cs="宋体"/>
          <w:kern w:val="0"/>
          <w:sz w:val="44"/>
          <w:szCs w:val="44"/>
          <w:lang w:val="en-GB"/>
        </w:rPr>
        <w:t>硕士研究生</w:t>
      </w:r>
      <w:r>
        <w:rPr>
          <w:rFonts w:hint="eastAsia" w:ascii="宋体" w:hAnsi="宋体" w:cs="宋体"/>
          <w:kern w:val="0"/>
          <w:sz w:val="44"/>
          <w:szCs w:val="44"/>
          <w:lang w:val="en-GB"/>
        </w:rPr>
        <w:t>学位</w:t>
      </w:r>
      <w:r>
        <w:rPr>
          <w:rFonts w:ascii="宋体" w:hAnsi="宋体" w:cs="宋体"/>
          <w:kern w:val="0"/>
          <w:sz w:val="44"/>
          <w:szCs w:val="44"/>
          <w:lang w:val="en-GB"/>
        </w:rPr>
        <w:t>论文学术规范</w:t>
      </w:r>
      <w:r>
        <w:rPr>
          <w:rFonts w:hint="eastAsia" w:ascii="宋体" w:hAnsi="宋体" w:cs="宋体"/>
          <w:kern w:val="0"/>
          <w:sz w:val="44"/>
          <w:szCs w:val="44"/>
          <w:lang w:val="en-GB"/>
        </w:rPr>
        <w:t>检查</w:t>
      </w:r>
      <w:r>
        <w:rPr>
          <w:rFonts w:ascii="宋体" w:hAnsi="宋体" w:cs="宋体"/>
          <w:kern w:val="0"/>
          <w:sz w:val="44"/>
          <w:szCs w:val="44"/>
          <w:lang w:val="en-GB"/>
        </w:rPr>
        <w:t>的</w:t>
      </w:r>
      <w:r>
        <w:rPr>
          <w:rFonts w:hint="eastAsia" w:ascii="宋体" w:hAnsi="宋体" w:cs="宋体"/>
          <w:kern w:val="0"/>
          <w:sz w:val="44"/>
          <w:szCs w:val="44"/>
          <w:lang w:val="en-GB"/>
        </w:rPr>
        <w:t>通知</w:t>
      </w:r>
    </w:p>
    <w:p>
      <w:pPr>
        <w:spacing w:line="192" w:lineRule="auto"/>
        <w:ind w:firstLine="640" w:firstLineChars="200"/>
        <w:jc w:val="right"/>
        <w:rPr>
          <w:rFonts w:ascii="仿宋" w:hAnsi="仿宋" w:eastAsia="仿宋"/>
          <w:sz w:val="32"/>
          <w:szCs w:val="32"/>
        </w:rPr>
      </w:pPr>
      <w:r>
        <w:rPr>
          <w:rFonts w:hint="eastAsia" w:ascii="仿宋" w:hAnsi="仿宋" w:eastAsia="仿宋"/>
          <w:sz w:val="32"/>
          <w:szCs w:val="32"/>
        </w:rPr>
        <w:t>校学位</w:t>
      </w:r>
      <w:r>
        <w:rPr>
          <w:rFonts w:hint="eastAsia" w:ascii="仿宋_GB2312" w:hAnsi="宋体" w:eastAsia="仿宋_GB2312" w:cs="宋体"/>
          <w:sz w:val="32"/>
          <w:szCs w:val="32"/>
        </w:rPr>
        <w:t>〔2018〕</w:t>
      </w:r>
      <w:r>
        <w:rPr>
          <w:rFonts w:hint="eastAsia" w:ascii="仿宋_GB2312" w:hAnsi="宋体" w:eastAsia="仿宋_GB2312" w:cs="宋体"/>
          <w:sz w:val="32"/>
          <w:szCs w:val="32"/>
          <w:lang w:val="en-US" w:eastAsia="zh-CN"/>
        </w:rPr>
        <w:t>19</w:t>
      </w:r>
      <w:r>
        <w:rPr>
          <w:rFonts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华文仿宋" w:hAnsi="华文仿宋" w:eastAsia="华文仿宋" w:cs="华文仿宋"/>
          <w:sz w:val="32"/>
          <w:szCs w:val="32"/>
        </w:rPr>
      </w:pPr>
      <w:r>
        <w:rPr>
          <w:rFonts w:hint="eastAsia" w:ascii="华文仿宋" w:hAnsi="华文仿宋" w:eastAsia="华文仿宋" w:cs="华文仿宋"/>
          <w:sz w:val="32"/>
          <w:szCs w:val="32"/>
        </w:rPr>
        <w:t>长期以来，我校高度重视学位论文质量，加大对非全日制学位论文学术不端的检查力度。学位论文学术规范进行联网检测和检查，这项工作一直是由校学位办公室对对有疑似学术不端情形的发函给学位分委会，学位分委会再去审查论文并处理。</w:t>
      </w:r>
      <w:r>
        <w:rPr>
          <w:rFonts w:hint="eastAsia" w:ascii="华文仿宋" w:hAnsi="华文仿宋" w:eastAsia="华文仿宋" w:cs="华文仿宋"/>
          <w:color w:val="000000"/>
          <w:sz w:val="32"/>
          <w:szCs w:val="32"/>
        </w:rPr>
        <w:t>近两年校学位办在办理答辩审批时，时有发现学位论文存在学术不端情形。为</w:t>
      </w:r>
      <w:r>
        <w:rPr>
          <w:rFonts w:hint="eastAsia" w:ascii="华文仿宋" w:hAnsi="华文仿宋" w:eastAsia="华文仿宋" w:cs="华文仿宋"/>
          <w:sz w:val="32"/>
          <w:szCs w:val="32"/>
        </w:rPr>
        <w:t>强化学位分委员会工作职责，增强责任意识和管理力度，理顺工作程序。对非全日制的学位论文学术规范答辩前的联网检测及检查，应由学位分委员会负责，做到自下而上、责任到人；及时发现问题、解决问题，把好论文质量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华文仿宋" w:hAnsi="华文仿宋" w:eastAsia="华文仿宋" w:cs="华文仿宋"/>
          <w:sz w:val="32"/>
          <w:szCs w:val="32"/>
        </w:rPr>
      </w:pPr>
      <w:r>
        <w:rPr>
          <w:rFonts w:hint="eastAsia" w:ascii="华文仿宋" w:hAnsi="华文仿宋" w:eastAsia="华文仿宋" w:cs="华文仿宋"/>
          <w:sz w:val="32"/>
          <w:szCs w:val="32"/>
        </w:rPr>
        <w:t>工作流程：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华文仿宋" w:hAnsi="华文仿宋" w:eastAsia="华文仿宋" w:cs="华文仿宋"/>
          <w:sz w:val="32"/>
          <w:szCs w:val="32"/>
        </w:rPr>
      </w:pPr>
      <w:r>
        <w:rPr>
          <w:rFonts w:hint="eastAsia" w:ascii="华文仿宋" w:hAnsi="华文仿宋" w:eastAsia="华文仿宋" w:cs="华文仿宋"/>
          <w:sz w:val="32"/>
          <w:szCs w:val="32"/>
        </w:rPr>
        <w:t>1、学位分委员会指派专人负责学位论文联网检测和学术规范检查。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华文仿宋" w:hAnsi="华文仿宋" w:eastAsia="华文仿宋" w:cs="华文仿宋"/>
          <w:sz w:val="32"/>
          <w:szCs w:val="32"/>
        </w:rPr>
      </w:pPr>
      <w:r>
        <w:rPr>
          <w:rFonts w:hint="eastAsia" w:ascii="华文仿宋" w:hAnsi="华文仿宋" w:eastAsia="华文仿宋" w:cs="华文仿宋"/>
          <w:sz w:val="32"/>
          <w:szCs w:val="32"/>
        </w:rPr>
        <w:t>2、学位申请者学位论文经分委员会检查合格准予答辩，持答辩材料、评阅意见修改说明、本科学历和学位证书、学位论文到校学位办领取答辩投票。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ascii="华文仿宋" w:hAnsi="华文仿宋" w:eastAsia="华文仿宋" w:cs="华文仿宋"/>
          <w:sz w:val="32"/>
          <w:szCs w:val="32"/>
        </w:rPr>
      </w:pPr>
      <w:r>
        <w:rPr>
          <w:rFonts w:hint="eastAsia" w:ascii="华文仿宋" w:hAnsi="华文仿宋" w:eastAsia="华文仿宋" w:cs="华文仿宋"/>
          <w:sz w:val="32"/>
          <w:szCs w:val="32"/>
        </w:rPr>
        <w:t>3、学位分委员会依据《哈尔滨工业大学学术不端行为查处细则》对存在学术不端情形的论文进行审核并提出处理意见，上报校学位委员会。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4、校学位办公室在校学位会前，在学位分委员会上报的拟授予非全日制硕士学位研究生审核名单中随机抽查，报校学位会检查论文的学术规范。</w:t>
      </w:r>
    </w:p>
    <w:p>
      <w:pPr>
        <w:spacing w:line="500" w:lineRule="exact"/>
        <w:ind w:firstLine="4160" w:firstLineChars="1300"/>
        <w:rPr>
          <w:rFonts w:hint="eastAsia" w:ascii="华文仿宋" w:hAnsi="华文仿宋" w:eastAsia="华文仿宋" w:cs="华文仿宋"/>
          <w:sz w:val="32"/>
          <w:szCs w:val="32"/>
          <w:lang w:val="en-US" w:eastAsia="zh-CN"/>
        </w:rPr>
      </w:pPr>
    </w:p>
    <w:p>
      <w:pPr>
        <w:spacing w:line="500" w:lineRule="exact"/>
        <w:ind w:firstLine="4160" w:firstLineChars="13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哈尔滨工业大学学位办公室</w:t>
      </w:r>
    </w:p>
    <w:p>
      <w:pPr>
        <w:spacing w:line="500" w:lineRule="exact"/>
        <w:ind w:firstLine="5120" w:firstLineChars="1600"/>
      </w:pPr>
      <w:r>
        <w:rPr>
          <w:rFonts w:hint="eastAsia" w:ascii="华文仿宋" w:hAnsi="华文仿宋" w:eastAsia="华文仿宋" w:cs="华文仿宋"/>
          <w:sz w:val="32"/>
          <w:szCs w:val="32"/>
          <w:lang w:val="en-US" w:eastAsia="zh-CN"/>
        </w:rPr>
        <w:t>2018年4月24日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E2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胡伟龙</cp:lastModifiedBy>
  <dcterms:modified xsi:type="dcterms:W3CDTF">2018-05-29T14:37:50Z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